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3.2 gyakorló teszt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1.Milyen kommunikációs stílus a legcélravezetőbb, ha páciensünkkel hosszútávú, felelősség-megosztásra épülő együttműködést szeretnénk kialakítani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Válasszon ki egyet: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Tárgyilagos, figyelembe veszi a páciens szociokulturális hátterét, partneri viszonyon alapul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2.Hogyan változik a beavatkozás és a betegmotiváció lehetősége a kialakult betegség előrehaladtával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Válasszon ki egyet: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beavatkozás lehetősége egyre csökken, míg a beteg egyre inkább hajlandó részt venni a különböző szintű szűréseken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3.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tartja vissza a pácienseket a szűréseken való részvételtől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Válasszon ki egyet: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Mindegyik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4.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Pozitív eredménnyel zárult primer szűrés esetén alkalmazhatunk-e primer prevenciót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Válasszon ki egyet: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Nem, mert a primer prevenció célja a betegség kialakulásának megakadályozása, tehát elkéstünk vele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5.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Mik a csoportos betegtájékoztatás előnyei a páciens szempontjából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Válasszon ki egyet: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Azonos tulajdonsággal rendelkező emberek (kor, nem, foglalkozás, betegség,) nyitottabbak az azonos problémára, több szempontból, nagyobb mélységben lehet egy témát megbeszélni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6.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Kik tudnak segítséget nyújtani a szűrő-megelőző tevékenységben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Mindenki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4.1. gyakorló teszt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az elsődleges megelőzés lehetősége a nemi betegségek elkerülésére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szexuális felvilágosítás által nyújtott előírásainak betartása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Mit tartalmaz a Szexuális és Reproduktív Jog Chartája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egyenlő jogi lehetőségeket a magánélethez, ezen belül a családalapításhoz, szexuális élethez, megfelelő információhoz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Kinek a felelőssége a  családtervezés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társadalomnak legalább akkora a felelőssége, mint a két félnek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Hányféle nemi betegséget ismerünk –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több, mint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20 félét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nemi betegség tünetei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csípő, fájdalmas érzés vizeléskor és székelésnél, húgycső váladékozása, bőrön hólyagok, sebek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Az STF fertőzött embereknek mennyi a gyógyulási esélyük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16 %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Bármilyen szexuális támadás után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kiskorú esetén, ha lehet szülővel, gyámmal vagy valamilyen felnőttel a rendőrségre kell 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menni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bejelenteni, mi történt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becslések szerint világszerte évente hány ember kap el valamilyen nemi betegséget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330 millió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 A fogamzásgátlás célja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terhességet elkerülni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Ha családon belül ér egy gyereket szexuális erőszak vagy támadás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szólni kell a tanárnak, vagy az iskolaorvosnak, védőnőnek, felnőttnek, bárkinek a családon kívül, hogy segítsen, mert joga van védekezni,  jelentési kötelezettség van 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 határozza meg a fogamzásgátló módszerek hatékonyságát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Pearl index határozza meg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4.2. gyakorló teszt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Melyik fertőző betegség rizikófaktora a promiszkuitás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hepatitis B vírus-fertőzés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Melyik fejlődési rendellenesség megelőzésében játszik a periconceptionalis folsav-pótlás bizonyítottan hatékony szerepet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nyitott gerinc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terminus betöltését követően milyen gyakran indokolt a non stressz teszt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naponta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Mennyi a magzati fejlődési rendellenességek aránya az antepartum elhalás eseteiben –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15%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Mekkora a tünetmentes bacteriuria terhesség alatti előfordulási gyakorisága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2-7%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Hányadik terhesség héten történik vérvétel az anyai szérum-AFP szint meghatározása céljából –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16. hét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Melyik terhességi héten javasolt a non stressz tesztek végzésének megkezdése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35. terhességi hét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Melyik vírusfertőzés esetén kell legnagyobb valószínűséggel súlyos magzati fejlődési rendellenességek kialakulásáéra számítani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rubeola-fertőzés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Mikor kerül sor a terhesgondozás során az I. ultrahang-szűrésre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11-13. terhességi héten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Cukorterheléses vizsgálat esetén mennyi a 120 perces vérvétel esetén az anyai vércukorszint élettani határértéke –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7.8 mmol/l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lastRenderedPageBreak/>
        <w:t>4.3. gyakorló teszt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Hogy történik leggyakrabban a csecsemő megfertőződése a fogszuvasodást okozó kórokozókkal –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anya nyálával, amely a közösen használt kanálon marad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Milyen maradandó károsodás alakulhat ki vírusfertőzés következtében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szájpadhasadék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Van-e összefüggés a terhesség lefolyása és a fogágy állapota között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fogágy gyulladása a koraszülés esélyét növeli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Miért szükséges a lokális fluoridprevenció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fogszuvasodás megelőzése és a remineralizáció elősegítése miatt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Mit jelent a primer-primer prevenció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fogszuvasodást okozó kórokozók anyáról gyermekre történő korai átvitelének megelőzését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körülmények között kell a kismama amalgámtömését eltávolítani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úgy, ahogyan másoknak, de kofferdam izolálás is szükséges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játszik szerepet az un. terhességi ínygyulladás kialakulásánál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hormonháztartás változásai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Miért nem helyes a csecsemő táplálása hanyattfekvő helyzetben nagy lyukú cumisüvegből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mert olyan rendellenességek alakulhatnak ki, melyek miatt fogszabályozó kezelésre lesz szükség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magzat növekedéséhez oldódnak-e ki ásványi anyagok a fogakból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nem, mert a fog keményszövetei már nem épülhetnek át 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úgy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mint a csontszövet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Miért fontos a szoptatás fogászati szempontból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mert elengedhetetlenül fontos az arc megfelelő fejlődéséhez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4.4. gyakorló teszt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Miért szükséges a terhes anyák fehérjeürítésének vizsgálata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fehérjeürítés a toxaemia egyik jele, és a korai felismerésével megakadályozható a koraszülés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Hány hónapos korban kapnak a gyermekek mumps-morbilli-rubeola oltást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15 hónapos korban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Kékfény-kezeléssel milyen kóros állapot előzhető meg –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Magicterus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Kiknek, miért javasolt a HPV-oltás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9-26 éves korú lányok, nők számára, méhnyak-rák megelőzése céljából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Koraszülések aránya Magyarországon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8-9%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Rh-inkompatibilitás milyen esetben fordulhat elő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Rh- negatív anya Rh-pozitív újszülöttjénél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Miért szükséges a koraszülés szempontjából veszélyeztetett anyák szteroid-kezelése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magzati tüdő érését serkenti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postpartum depresszió észrevétele milyen szintű prevencióhoz tartozik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szekunder prevenció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Kiknek szükséges K-vitamin adagolása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Kizárólag anyatejes táplálásban részesülő csecsemők vérzésének megakadályozására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Az újszülöttkori anyagcsere-szűrés melyik szintű prevencióhoz tartozik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Szekunder prevenció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6/1 Gyakorló teszt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Mivel magyarázható a fokozott zöldség-gyümölcs bevitel preventív hatása a mellrák kialakulására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preventív hatást a fitoösztrogén tartalom magyarázhatja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 kapcsolat az elhízás és a mellrák rizikó között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születési magas testsúly kétszeres mellrák rizikót jelent a születési kis testsúlyhoz viszonyítva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tanácsot adna a prosztatarák megelőzésére a húsok vonatkozásában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nem ajánlott a grillezett, sült  gyakori húsfogyasztás  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Hogy viszonyul a mellrák incidencia a zsírfogyasztáshoz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fokozott zsírbevitel fokozott rizikót jelenthet, de a vizsgálati eredmények ebben a tekintetben nem egyértelműek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Melyek azok a növényfajták, amelyek gyakori fogyasztása megelőző hatású a prosztata karcinoma kialakulásában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keresztesvirágúak  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állati eredetű tápanyagot javasolna a prosztata carcinoma megelőzésére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hal, Omega-3 zsírsav tartalma miatt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Hogyan kapcsolódik a fokozott zsírbevitel, az elhízás és az ösztrogén szint a fokozott mamma carcinoma rizikóhoz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Lehet, hogy nem a magasabb zsírbevitel, hanem  inkább az  ennek következtében jelentkező elhízás a rizikótényező a fokozott 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ösztrogén termelés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miatt  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Melyek a leggyakoribb rosszindulatú daganatok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prostatarák férfiaknál, mellrák nőknél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tényező befolyásolja leginkább a leggyakoribb rosszindulatú daganatos betegségek előfordulását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Genetikai hajlam és táplálkozás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gyakran és hogyan célszerű a Likopen bevitele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Heti két alkalommal egy pohár előzetesen felforralt paradicsomlé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Hogyan viszonyul a növényi olajok, többszörösen telítetlen zsírsavak bevitele a mellrák incidenciához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incidencia fordítottan arányos a fogyasztással, azaz védő hatásúnak látszik</w:t>
      </w:r>
    </w:p>
    <w:p w:rsidR="000A6BF3" w:rsidRPr="000A6BF3" w:rsidRDefault="000A6BF3" w:rsidP="000A6B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Milyen vitaminok pótlása lehet megelőző jellegű a prosztata karcinoma kialakulásában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 és D vitamin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lastRenderedPageBreak/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6/2 gyakorló teszt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A kiégési folyamat alábbi fázisai közül melyik tartozik a súlyosabb tünetek közé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Deperszonalizáció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2. A három hónapos korig kizárólag szoptatottak arányának csupán 5 %-os növekedésével hozzávetőlegesen mekkora összeg lenne közvetlenül megtakarítható a társadalombiztosítás számára Magyarországon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Évente 50-100 millió forint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3. A beteg gyermekeknek szervezett rehabilitációs táborok hatékonyságát illetően mely pszicho-szociális területeken észlelt változásokról számolnak be irodalmi közlések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mindegyik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4. A Bátor Tábor Alapítvány rehabilitációs táboraiban a résztvevőknek csak jelképes hozzájárulást kell fizetniük a táborban való részvételért, így a legtöbb család számára hozzáférhető ez a lehetőség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HAMIS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5. A szopó mozgás az arc, fogak és beszéd fejlődése szempontjából ideális, a mesterségesen táplált gyermekeknél gyakoribb a fogszabályozási probléma és gyakrabban van szükségük logopédiai kezelésre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IGAZ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 Az emberrel foglalkozó szakmák, így az egészségügyi pálya is magában hordozza az úgynevezett kiégési szindróma veszélyét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IGAZ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 Deperszonalizáció tüneteinek észlelése esetén (Az önérzékelő képesség elvesztése, megszűnik a belső világgal való kapcsolat. Például idegennek érezzük a testüket.) fontos végig gondolni, hogy mi vezetett régebben pihenéshez, és törekedni </w:t>
      </w:r>
      <w:proofErr w:type="gramStart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arra</w:t>
      </w:r>
      <w:proofErr w:type="gramEnd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hogy többet pihenjünk, és ez általában elegendő is a gyógyuláshoz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HAMIS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 A nem szoptató anyák körében ritkább a postpartum depresszió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HAMIS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A kiégési folyamat alábbi fázisai közül melyik tartozik a korai szakasz tünetei közé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Személyes igények elhanyagolása 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10. Az alábbi gyermekkori megbetegedések közül melyik NEM RITKÁBB a későbbi életkorokban, a legalább három hónapos korukig szoptatott gyermekek körében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Pitvari szeptum defektus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6/3 Gyakorló teszt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1. A cigaretta letételét követően mennyi időn belül következik be az első kedvező élettani hatás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20perc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2. Mennyi ideig tart egy-egy sóvárgási hullám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10-15 perc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3. A dohányfüst mennyi rákkeltő anyagot tartalmaz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43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4. A dohányfüst összetevői közül melyik felelős az addikcióért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Nikotin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5. Melyek nikotinpótló készítmények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mindhárom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6. A leszokást követően mennyi idővel javasolható diéta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 hónappal a leszokást követően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7. Melyek a viselkedés változás szakaszai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Töprengés előtt, töprengés, előkészület, cselekvés, fenntartás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8. Melyek a nikotinfüggés mértékének mérési módjai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mindhárom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9. A proaktív telefonos tanácsadás során milyen időközönként konzultálunk a pácienssel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hetente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10. 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Az egészségügyi dolgozók mekkora százaléka dohányzik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40%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11. Mi a tudakozódás jelentősége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Mindhárom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12. Kinek ajánlhatjuk a klinikai, minimál intervenciós programot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magas motivációs szinttel rendelkező, kevésé cigarettát szívó pácienseknek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13. Melyek a leszokás támogatásának fázisai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Felkészülés a cigaretta letételére, Függetlenség napjának kiválasztása, Függetlenség napja, Felkészülés a magas rizikójú helyzetekre, Megküzdés a sóvárgással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14. Melyek a leggyakoribb megvonási tünetek? 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sóvárgás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, fokozódó étvágy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15.Mikor </w:t>
      </w:r>
      <w:proofErr w:type="gramStart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mondjuk</w:t>
      </w:r>
      <w:proofErr w:type="gramEnd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hogy elég erős a páciens motiváltság szintje a leszokáshoz?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Ha 30 napon belül hajlandó letenni a cigarettát 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16.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Mennyi az átlagos </w:t>
      </w:r>
      <w:proofErr w:type="gramStart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testsúly gyarapodás</w:t>
      </w:r>
      <w:proofErr w:type="gramEnd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?Válasszon ki egyet: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4-5kg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  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17.A klinikai minimál intervenciónak mi a legnagyobb előnye? 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egészségügyi személyzet bármely tagja végezheti, bármilyen szakrendeléshez kapcsolódóan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18. Relapszus után szükség van-e egy új függetlenség napjának kijelölésére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Igen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19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. </w:t>
      </w: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Mit tartalmaz a Nicobrevin - 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Mentol, valeriana, kinin, kámfor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20. Melyik volt az első nem nikotinos farmakoterápiás szer -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Bupropion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6/4 gyakorló teszt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az univerzális prevenciós programokban alkalmazott legfontosabb készségfejlesztés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életvezetési készségek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Mit jelent az univerzális prevenció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egy betegségcsoport kialakulásának megelőzése 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interaktivitás jellemzője az univerzális prevenciós programok eseténaz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oktató – diák és a diák – oktató irányú információáramlás 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univerzális programok bizonyítottan leghatékonyabb eleme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interaktivitás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lastRenderedPageBreak/>
        <w:t>Mi az információnyújtás szerepe az iskolai prevencióban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más programelemekkel együtt eredményes beavatkozás 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Kik az univerzális prevenció kivitelezésére alkalmas szakemberek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pedagógusok 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interaktivitás jellemzője univerzális prevenciós programok esetén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interperszonális kompetencia felhasználása 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univerzális prevenció célja 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egy betegségcsoport kialakulásának megelőzése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Hány foglalkozástól várható eredmény az univerzális programok eseté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n? minimum 10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az univerzális prevenció visszautasítási készségeinek jelentősége?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az asszertivitás növelése</w:t>
      </w:r>
    </w:p>
    <w:p w:rsidR="000A6BF3" w:rsidRPr="000A6BF3" w:rsidRDefault="000A6BF3" w:rsidP="000A6B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Mit jelent az univerzális prevenció</w:t>
      </w:r>
      <w:proofErr w:type="gramStart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?Válasszon</w:t>
      </w:r>
      <w:proofErr w:type="gramEnd"/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ki egyet: a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z általános populációt célzó beavatkozások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</w:p>
    <w:p w:rsidR="000A6BF3" w:rsidRPr="000A6BF3" w:rsidRDefault="000A6BF3" w:rsidP="000A6BF3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6/5 Gyakorló teszt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Mit értünk terápiahűség (adherencia) alatt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beteg megérti és elfogadja a terápia szükségességét és módját, követi az orvos utasításait és kitart a terápia mellett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Válassza ki a helyes megállapítást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terápiahűség különösen rossz a tünetekkel nem járó, de fokozott kockázatot jelentő állapotok tartós gyógyszeres terápiája esetében 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 tartozik a farmakovigilancia tevékenységi körébe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gyógyszer-mellékhatások felismerése, jelentése, összegyűjtése, elemzése, különböző intézkedések útján történő megelőzése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Válassza ki a helyes megállapítást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nátha elleni orrcseppek tartós használata súlyos orrdugulást okozhat 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Válassza ki a helyes megállapítást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gyógyszer iránti allergia ellenjavallata a gyógyszer alkalmazásának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Válassza ki a helyes megállapítást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adherencia hiánya súlyos következményekkel és jelentős költséggel jár 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Válassza ki a helyes megállapítást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Gyógyszerkölcsönhatás eredményezheti a gyógyszer hatékonyságának csökkenését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Válassza ki a helyes megállapítást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étrendkiegészítők esetében nem történtek a hatásosságukat és biztonságos alkalmazásukat igazoló klinikai vizsgálatok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Válassza ki a helyes megállapítást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 </w:t>
      </w:r>
      <w:proofErr w:type="gramStart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paracetamol napi adagja nem haladhatja meg a 4 g-ot </w:t>
      </w:r>
    </w:p>
    <w:p w:rsidR="000A6BF3" w:rsidRPr="000A6BF3" w:rsidRDefault="000A6BF3" w:rsidP="000A6B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0A6BF3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Melyik tényező NEM járul hozzá az idős betegek gyakori gyógyszerszedési hibáihoz (rossz compliance)</w:t>
      </w:r>
      <w:r w:rsidRPr="000A6BF3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0A6BF3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gyógyszerésznek a gyógyszer bevételére vonatkozó tanácsai </w:t>
      </w:r>
    </w:p>
    <w:p w:rsidR="007464B5" w:rsidRDefault="007464B5"/>
    <w:sectPr w:rsidR="007464B5" w:rsidSect="0074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4F3"/>
    <w:multiLevelType w:val="multilevel"/>
    <w:tmpl w:val="A318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B486F"/>
    <w:multiLevelType w:val="multilevel"/>
    <w:tmpl w:val="FD60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14DF9"/>
    <w:multiLevelType w:val="multilevel"/>
    <w:tmpl w:val="3C96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A6BF3"/>
    <w:rsid w:val="000A6BF3"/>
    <w:rsid w:val="007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BF3"/>
    <w:rPr>
      <w:b/>
      <w:bCs/>
    </w:rPr>
  </w:style>
  <w:style w:type="character" w:customStyle="1" w:styleId="apple-converted-space">
    <w:name w:val="apple-converted-space"/>
    <w:basedOn w:val="Bekezdsalapbettpusa"/>
    <w:rsid w:val="000A6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</cp:revision>
  <dcterms:created xsi:type="dcterms:W3CDTF">2012-11-10T22:22:00Z</dcterms:created>
  <dcterms:modified xsi:type="dcterms:W3CDTF">2012-11-10T22:23:00Z</dcterms:modified>
</cp:coreProperties>
</file>