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64" w:rsidRPr="00F34BF5" w:rsidRDefault="00517020">
      <w:pPr>
        <w:pStyle w:val="Cm"/>
        <w:rPr>
          <w:lang w:val="hu-HU"/>
        </w:rPr>
      </w:pPr>
      <w:r>
        <w:rPr>
          <w:lang w:val="hu-HU"/>
        </w:rPr>
        <w:t>Diabetes mellitus</w:t>
      </w:r>
    </w:p>
    <w:p w:rsidR="007D3D64" w:rsidRPr="00F34BF5" w:rsidRDefault="007D3D64" w:rsidP="00517020">
      <w:pPr>
        <w:pStyle w:val="Cmsor1"/>
        <w:rPr>
          <w:lang w:val="hu-HU"/>
        </w:rPr>
      </w:pPr>
    </w:p>
    <w:p w:rsidR="007D3D64" w:rsidRDefault="0010139A" w:rsidP="007F27EA">
      <w:pPr>
        <w:spacing w:before="100" w:beforeAutospacing="1" w:after="100" w:afterAutospacing="1" w:line="240" w:lineRule="auto"/>
        <w:rPr>
          <w:lang w:val="hu-HU"/>
        </w:rPr>
      </w:pPr>
      <w:r w:rsidRPr="0010139A">
        <w:rPr>
          <w:lang w:val="hu-HU"/>
        </w:rPr>
        <w:t>A diabetes mellitus (DM) olyan komplex anyagcsere-betegség, amelynek központjába a szénhidrát</w:t>
      </w:r>
      <w:r w:rsidR="005F370E">
        <w:rPr>
          <w:lang w:val="hu-HU"/>
        </w:rPr>
        <w:t>-</w:t>
      </w:r>
      <w:r w:rsidRPr="0010139A">
        <w:rPr>
          <w:lang w:val="hu-HU"/>
        </w:rPr>
        <w:t>anyagcsere zavara áll, de a kórfolyamatok érintik a zsír- és a fehérje-anyag</w:t>
      </w:r>
      <w:r w:rsidR="005F370E">
        <w:rPr>
          <w:lang w:val="hu-HU"/>
        </w:rPr>
        <w:t xml:space="preserve">cserét is. A cukorbetegség </w:t>
      </w:r>
      <w:r w:rsidRPr="0010139A">
        <w:rPr>
          <w:lang w:val="hu-HU"/>
        </w:rPr>
        <w:t>alapvető oka az inzulin viszonylagos vagy teljes hiánya, ill. az inzulinhatás elmaradása.</w:t>
      </w:r>
    </w:p>
    <w:p w:rsidR="00781712" w:rsidRDefault="00781712" w:rsidP="007F27EA">
      <w:pPr>
        <w:spacing w:before="100" w:beforeAutospacing="1" w:after="100" w:afterAutospacing="1" w:line="240" w:lineRule="auto"/>
        <w:rPr>
          <w:lang w:val="hu-HU"/>
        </w:rPr>
      </w:pPr>
    </w:p>
    <w:p w:rsidR="00781712" w:rsidRPr="00781712" w:rsidRDefault="005F370E" w:rsidP="00781712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81712">
        <w:rPr>
          <w:rFonts w:ascii="Times New Roman" w:hAnsi="Times New Roman" w:cs="Times New Roman"/>
          <w:b/>
          <w:sz w:val="24"/>
          <w:szCs w:val="24"/>
          <w:lang w:val="hu-HU"/>
        </w:rPr>
        <w:t>A cukorbetegséghez társuló anyagcserezavar lényege és magyarázata</w:t>
      </w:r>
    </w:p>
    <w:p w:rsidR="005F370E" w:rsidRPr="005F370E" w:rsidRDefault="005F370E" w:rsidP="00781712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bookmarkStart w:id="0" w:name="_GoBack"/>
      <w:r w:rsidRPr="005F370E">
        <w:rPr>
          <w:lang w:val="hu-HU"/>
        </w:rPr>
        <w:t xml:space="preserve">A diabeteses anyagcserezavar lényege a szövetek </w:t>
      </w:r>
      <w:proofErr w:type="spellStart"/>
      <w:r w:rsidRPr="005F370E">
        <w:rPr>
          <w:lang w:val="hu-HU"/>
        </w:rPr>
        <w:t>glukózhiánya</w:t>
      </w:r>
      <w:proofErr w:type="spellEnd"/>
      <w:r w:rsidRPr="005F370E">
        <w:rPr>
          <w:lang w:val="hu-HU"/>
        </w:rPr>
        <w:t xml:space="preserve">, miközben a vérben </w:t>
      </w:r>
      <w:bookmarkEnd w:id="0"/>
      <w:proofErr w:type="spellStart"/>
      <w:r w:rsidRPr="005F370E">
        <w:rPr>
          <w:lang w:val="hu-HU"/>
        </w:rPr>
        <w:t>hyperglycaemia</w:t>
      </w:r>
      <w:proofErr w:type="spellEnd"/>
      <w:r w:rsidRPr="005F370E">
        <w:rPr>
          <w:lang w:val="hu-HU"/>
        </w:rPr>
        <w:t xml:space="preserve"> van.</w:t>
      </w:r>
    </w:p>
    <w:p w:rsidR="005F370E" w:rsidRPr="005F370E" w:rsidRDefault="005F370E" w:rsidP="00781712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</w:t>
      </w:r>
      <w:proofErr w:type="spellStart"/>
      <w:r w:rsidRPr="005F370E">
        <w:rPr>
          <w:lang w:val="hu-HU"/>
        </w:rPr>
        <w:t>hyperglycaemiát</w:t>
      </w:r>
      <w:proofErr w:type="spellEnd"/>
      <w:r w:rsidRPr="005F370E">
        <w:rPr>
          <w:lang w:val="hu-HU"/>
        </w:rPr>
        <w:t xml:space="preserve"> ebben az esetben együttesen alakítja a ki a perifériás szövetek csökkent </w:t>
      </w:r>
      <w:proofErr w:type="spellStart"/>
      <w:r w:rsidRPr="005F370E">
        <w:rPr>
          <w:lang w:val="hu-HU"/>
        </w:rPr>
        <w:t>glukózfelhasználása</w:t>
      </w:r>
      <w:proofErr w:type="spellEnd"/>
      <w:r w:rsidRPr="005F370E">
        <w:rPr>
          <w:lang w:val="hu-HU"/>
        </w:rPr>
        <w:t xml:space="preserve"> és a fokozott </w:t>
      </w:r>
      <w:proofErr w:type="spellStart"/>
      <w:r w:rsidRPr="005F370E">
        <w:rPr>
          <w:lang w:val="hu-HU"/>
        </w:rPr>
        <w:t>glukoneogenezis</w:t>
      </w:r>
      <w:proofErr w:type="spellEnd"/>
      <w:r w:rsidRPr="005F370E">
        <w:rPr>
          <w:lang w:val="hu-HU"/>
        </w:rPr>
        <w:t>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glukóz-anyagcsere megborulása egyértelműen az inzulinhatás hiánya miatt alakul ki. Inzulin jelenlétében azok a szövetek, melyek GluT-4 </w:t>
      </w:r>
      <w:proofErr w:type="spellStart"/>
      <w:r w:rsidRPr="005F370E">
        <w:rPr>
          <w:lang w:val="hu-HU"/>
        </w:rPr>
        <w:t>transzporterrel</w:t>
      </w:r>
      <w:proofErr w:type="spellEnd"/>
      <w:r w:rsidRPr="005F370E">
        <w:rPr>
          <w:lang w:val="hu-HU"/>
        </w:rPr>
        <w:t xml:space="preserve"> rendelkeznek (zsírszövet, izomszövet) rendkívül gyorsan képesek eliminálni a glukózt a keringésből. Ez diabetesben nem valósul meg.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fokozott </w:t>
      </w:r>
      <w:proofErr w:type="spellStart"/>
      <w:r w:rsidRPr="005F370E">
        <w:rPr>
          <w:lang w:val="hu-HU"/>
        </w:rPr>
        <w:t>glukoneogenetikus</w:t>
      </w:r>
      <w:proofErr w:type="spellEnd"/>
      <w:r w:rsidRPr="005F370E">
        <w:rPr>
          <w:lang w:val="hu-HU"/>
        </w:rPr>
        <w:t xml:space="preserve"> aktivitásért szintén az inzulinhiány a felelős, illetve az </w:t>
      </w:r>
      <w:proofErr w:type="spellStart"/>
      <w:r w:rsidRPr="005F370E">
        <w:rPr>
          <w:lang w:val="hu-HU"/>
        </w:rPr>
        <w:t>intracelluláris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glukózhiány</w:t>
      </w:r>
      <w:proofErr w:type="spellEnd"/>
      <w:r w:rsidRPr="005F370E">
        <w:rPr>
          <w:lang w:val="hu-HU"/>
        </w:rPr>
        <w:t>. Miközben a vérben felhalmozódik a glukóz, a sejtek éheznek.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>Jellemző a tömegvesztés és a negatív N-egyensúly, ami az izomszövet megfogyatkozásával, az izomfehérjék fokozott degradációjával magyarázható.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Jellemző a vérben a zsírsavak koncentrációjának emelkedése. Ez szintén az inzulinhiányra vezethető vissza, amikor is a HSL kontrolálatlanul szabadítja fel a zsírsavakat a </w:t>
      </w:r>
      <w:proofErr w:type="spellStart"/>
      <w:r w:rsidRPr="005F370E">
        <w:rPr>
          <w:lang w:val="hu-HU"/>
        </w:rPr>
        <w:t>TG-ekből</w:t>
      </w:r>
      <w:proofErr w:type="spellEnd"/>
      <w:r w:rsidRPr="005F370E">
        <w:rPr>
          <w:lang w:val="hu-HU"/>
        </w:rPr>
        <w:t>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zsírsavakat a perifériás szervek felhasználják, de rendszerint az energiaigénynél jóval magasabb koncentrációban vannak jelen a vérben. A felesleges </w:t>
      </w:r>
      <w:proofErr w:type="spellStart"/>
      <w:r w:rsidRPr="005F370E">
        <w:rPr>
          <w:lang w:val="hu-HU"/>
        </w:rPr>
        <w:t>FFA-t</w:t>
      </w:r>
      <w:proofErr w:type="spellEnd"/>
      <w:r w:rsidRPr="005F370E">
        <w:rPr>
          <w:lang w:val="hu-HU"/>
        </w:rPr>
        <w:t xml:space="preserve"> a máj veszi fel, és alakítja vissza </w:t>
      </w:r>
      <w:proofErr w:type="spellStart"/>
      <w:r w:rsidRPr="005F370E">
        <w:rPr>
          <w:lang w:val="hu-HU"/>
        </w:rPr>
        <w:t>TG-dé</w:t>
      </w:r>
      <w:proofErr w:type="spellEnd"/>
      <w:r w:rsidRPr="005F370E">
        <w:rPr>
          <w:lang w:val="hu-HU"/>
        </w:rPr>
        <w:t xml:space="preserve">, majd </w:t>
      </w:r>
      <w:proofErr w:type="spellStart"/>
      <w:r w:rsidRPr="005F370E">
        <w:rPr>
          <w:lang w:val="hu-HU"/>
        </w:rPr>
        <w:t>lipoproteinekbe</w:t>
      </w:r>
      <w:proofErr w:type="spellEnd"/>
      <w:r w:rsidRPr="005F370E">
        <w:rPr>
          <w:lang w:val="hu-HU"/>
        </w:rPr>
        <w:t xml:space="preserve"> (VLDL) csomagolva ismét a keringésbe juttatja.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következő problémát éppen a többlet zsírsav jelenti. A fokozott </w:t>
      </w:r>
      <w:proofErr w:type="spellStart"/>
      <w:r w:rsidRPr="005F370E">
        <w:rPr>
          <w:lang w:val="hu-HU"/>
        </w:rPr>
        <w:t>zsírsavoxidáció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acetil-CoA</w:t>
      </w:r>
      <w:proofErr w:type="spellEnd"/>
      <w:r w:rsidRPr="005F370E">
        <w:rPr>
          <w:lang w:val="hu-HU"/>
        </w:rPr>
        <w:t xml:space="preserve"> túlkínálatot okoz, ami azonban nem képes a </w:t>
      </w:r>
      <w:proofErr w:type="spellStart"/>
      <w:r w:rsidRPr="005F370E">
        <w:rPr>
          <w:lang w:val="hu-HU"/>
        </w:rPr>
        <w:t>citrát-ciklusba</w:t>
      </w:r>
      <w:proofErr w:type="spellEnd"/>
      <w:r w:rsidRPr="005F370E">
        <w:rPr>
          <w:lang w:val="hu-HU"/>
        </w:rPr>
        <w:t xml:space="preserve"> lépni. Ennek oka, hogy</w:t>
      </w:r>
      <w:r>
        <w:rPr>
          <w:lang w:val="hu-HU"/>
        </w:rPr>
        <w:t xml:space="preserve"> </w:t>
      </w:r>
      <w:r w:rsidRPr="005F370E">
        <w:rPr>
          <w:lang w:val="hu-HU"/>
        </w:rPr>
        <w:t xml:space="preserve">a párhuzamosan folyó fokozott </w:t>
      </w:r>
      <w:proofErr w:type="spellStart"/>
      <w:r w:rsidRPr="005F370E">
        <w:rPr>
          <w:lang w:val="hu-HU"/>
        </w:rPr>
        <w:t>glukoneogenezis</w:t>
      </w:r>
      <w:proofErr w:type="spellEnd"/>
      <w:r w:rsidRPr="005F370E">
        <w:rPr>
          <w:lang w:val="hu-HU"/>
        </w:rPr>
        <w:t xml:space="preserve"> miatt az </w:t>
      </w:r>
      <w:proofErr w:type="spellStart"/>
      <w:r w:rsidRPr="005F370E">
        <w:rPr>
          <w:lang w:val="hu-HU"/>
        </w:rPr>
        <w:t>oxálacetát</w:t>
      </w:r>
      <w:proofErr w:type="spellEnd"/>
      <w:r w:rsidRPr="005F370E">
        <w:rPr>
          <w:lang w:val="hu-HU"/>
        </w:rPr>
        <w:t xml:space="preserve"> foglalt (redukáló ekvivalensek </w:t>
      </w:r>
      <w:proofErr w:type="spellStart"/>
      <w:r w:rsidRPr="005F370E">
        <w:rPr>
          <w:lang w:val="hu-HU"/>
        </w:rPr>
        <w:t>mitokondriális</w:t>
      </w:r>
      <w:proofErr w:type="spellEnd"/>
      <w:r w:rsidRPr="005F370E">
        <w:rPr>
          <w:lang w:val="hu-HU"/>
        </w:rPr>
        <w:t xml:space="preserve"> transzportja miatt), így blokkolódik a </w:t>
      </w:r>
      <w:proofErr w:type="spellStart"/>
      <w:r w:rsidRPr="005F370E">
        <w:rPr>
          <w:lang w:val="hu-HU"/>
        </w:rPr>
        <w:t>citrát</w:t>
      </w:r>
      <w:proofErr w:type="spellEnd"/>
      <w:r w:rsidRPr="005F370E">
        <w:rPr>
          <w:lang w:val="hu-HU"/>
        </w:rPr>
        <w:t xml:space="preserve"> ciklus.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Végeredményben az energiatermelésig nem jut el a folyamat, ugyanakkor a felhalmozódó </w:t>
      </w:r>
      <w:proofErr w:type="spellStart"/>
      <w:r w:rsidRPr="005F370E">
        <w:rPr>
          <w:lang w:val="hu-HU"/>
        </w:rPr>
        <w:t>acetil-CoA</w:t>
      </w:r>
      <w:proofErr w:type="spellEnd"/>
      <w:r w:rsidRPr="005F370E">
        <w:rPr>
          <w:lang w:val="hu-HU"/>
        </w:rPr>
        <w:t xml:space="preserve"> alternatív úton fog tovább alakulni, és </w:t>
      </w:r>
      <w:proofErr w:type="spellStart"/>
      <w:r w:rsidRPr="005F370E">
        <w:rPr>
          <w:lang w:val="hu-HU"/>
        </w:rPr>
        <w:t>ketontestek</w:t>
      </w:r>
      <w:proofErr w:type="spellEnd"/>
      <w:r w:rsidRPr="005F370E">
        <w:rPr>
          <w:lang w:val="hu-HU"/>
        </w:rPr>
        <w:t xml:space="preserve"> képződnek.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b/>
          <w:lang w:val="hu-HU"/>
        </w:rPr>
      </w:pPr>
      <w:r w:rsidRPr="005F370E">
        <w:rPr>
          <w:lang w:val="hu-HU"/>
        </w:rPr>
        <w:t xml:space="preserve">A </w:t>
      </w:r>
      <w:proofErr w:type="spellStart"/>
      <w:r w:rsidRPr="005F370E">
        <w:rPr>
          <w:lang w:val="hu-HU"/>
        </w:rPr>
        <w:t>ketontestek</w:t>
      </w:r>
      <w:proofErr w:type="spellEnd"/>
      <w:r w:rsidRPr="005F370E">
        <w:rPr>
          <w:lang w:val="hu-HU"/>
        </w:rPr>
        <w:t xml:space="preserve"> gyenge savak (</w:t>
      </w:r>
      <w:proofErr w:type="spellStart"/>
      <w:r w:rsidRPr="005F370E">
        <w:rPr>
          <w:lang w:val="hu-HU"/>
        </w:rPr>
        <w:t>β-OH-vajsav</w:t>
      </w:r>
      <w:proofErr w:type="spellEnd"/>
      <w:r w:rsidRPr="005F370E">
        <w:rPr>
          <w:lang w:val="hu-HU"/>
        </w:rPr>
        <w:t>, acetát), melyek H</w:t>
      </w:r>
      <w:r w:rsidRPr="005F370E">
        <w:rPr>
          <w:vertAlign w:val="superscript"/>
          <w:lang w:val="hu-HU"/>
        </w:rPr>
        <w:t>+</w:t>
      </w:r>
      <w:proofErr w:type="spellStart"/>
      <w:r w:rsidRPr="005F370E">
        <w:rPr>
          <w:lang w:val="hu-HU"/>
        </w:rPr>
        <w:t>-t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disszociálva</w:t>
      </w:r>
      <w:proofErr w:type="spellEnd"/>
      <w:r w:rsidRPr="005F370E">
        <w:rPr>
          <w:lang w:val="hu-HU"/>
        </w:rPr>
        <w:t xml:space="preserve"> a plazmát savanyítják. Kialakul a metabolikus </w:t>
      </w:r>
      <w:proofErr w:type="spellStart"/>
      <w:r w:rsidRPr="005F370E">
        <w:rPr>
          <w:lang w:val="hu-HU"/>
        </w:rPr>
        <w:t>acidosis</w:t>
      </w:r>
      <w:proofErr w:type="spellEnd"/>
      <w:r w:rsidRPr="005F370E">
        <w:rPr>
          <w:lang w:val="hu-HU"/>
        </w:rPr>
        <w:t>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Az </w:t>
      </w:r>
      <w:proofErr w:type="spellStart"/>
      <w:r w:rsidRPr="005F370E">
        <w:rPr>
          <w:lang w:val="hu-HU"/>
        </w:rPr>
        <w:t>acidosis</w:t>
      </w:r>
      <w:proofErr w:type="spellEnd"/>
      <w:r w:rsidRPr="005F370E">
        <w:rPr>
          <w:lang w:val="hu-HU"/>
        </w:rPr>
        <w:t xml:space="preserve"> rendezésére egyrészt a légzőszervrendszer válaszol </w:t>
      </w:r>
      <w:proofErr w:type="spellStart"/>
      <w:r w:rsidRPr="005F370E">
        <w:rPr>
          <w:lang w:val="hu-HU"/>
        </w:rPr>
        <w:t>hyperventillációval</w:t>
      </w:r>
      <w:proofErr w:type="spellEnd"/>
      <w:r w:rsidRPr="005F370E">
        <w:rPr>
          <w:lang w:val="hu-HU"/>
        </w:rPr>
        <w:t xml:space="preserve">, másrészt a vese </w:t>
      </w:r>
      <w:proofErr w:type="gramStart"/>
      <w:r w:rsidRPr="005F370E">
        <w:rPr>
          <w:lang w:val="hu-HU"/>
        </w:rPr>
        <w:t>fokozott</w:t>
      </w:r>
      <w:proofErr w:type="gramEnd"/>
      <w:r w:rsidRPr="005F370E">
        <w:rPr>
          <w:lang w:val="hu-HU"/>
        </w:rPr>
        <w:t xml:space="preserve"> Na</w:t>
      </w:r>
      <w:r w:rsidRPr="005F370E">
        <w:rPr>
          <w:vertAlign w:val="superscript"/>
          <w:lang w:val="hu-HU"/>
        </w:rPr>
        <w:t>+</w:t>
      </w:r>
      <w:r w:rsidRPr="005F370E">
        <w:rPr>
          <w:lang w:val="hu-HU"/>
        </w:rPr>
        <w:t>- és bikarbonát vesztéssel.</w:t>
      </w:r>
    </w:p>
    <w:p w:rsidR="005F370E" w:rsidRPr="005F370E" w:rsidRDefault="005F370E" w:rsidP="007F27EA">
      <w:pPr>
        <w:numPr>
          <w:ilvl w:val="1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A magas cukorkoncentráció miatt a glukóz megjelenik a vizeletben és </w:t>
      </w:r>
      <w:proofErr w:type="spellStart"/>
      <w:r w:rsidRPr="005F370E">
        <w:rPr>
          <w:lang w:val="hu-HU"/>
        </w:rPr>
        <w:t>glucosuria</w:t>
      </w:r>
      <w:proofErr w:type="spellEnd"/>
      <w:r w:rsidRPr="005F370E">
        <w:rPr>
          <w:lang w:val="hu-HU"/>
        </w:rPr>
        <w:t xml:space="preserve"> alakul ki, ami viszont ozmotikus aktivitása révén </w:t>
      </w:r>
      <w:proofErr w:type="spellStart"/>
      <w:r w:rsidRPr="005F370E">
        <w:rPr>
          <w:lang w:val="hu-HU"/>
        </w:rPr>
        <w:t>polyuriát</w:t>
      </w:r>
      <w:proofErr w:type="spellEnd"/>
      <w:r w:rsidRPr="005F370E">
        <w:rPr>
          <w:lang w:val="hu-HU"/>
        </w:rPr>
        <w:t xml:space="preserve"> okoz.</w:t>
      </w:r>
    </w:p>
    <w:p w:rsidR="00781712" w:rsidRDefault="005F370E" w:rsidP="00781712">
      <w:pPr>
        <w:numPr>
          <w:ilvl w:val="1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A </w:t>
      </w:r>
      <w:proofErr w:type="spellStart"/>
      <w:r w:rsidRPr="005F370E">
        <w:rPr>
          <w:lang w:val="hu-HU"/>
        </w:rPr>
        <w:t>hypothalamus</w:t>
      </w:r>
      <w:proofErr w:type="spellEnd"/>
      <w:r w:rsidRPr="005F370E">
        <w:rPr>
          <w:lang w:val="hu-HU"/>
        </w:rPr>
        <w:t xml:space="preserve"> területén található szomjúságközpontban (</w:t>
      </w:r>
      <w:proofErr w:type="spellStart"/>
      <w:r w:rsidRPr="005F370E">
        <w:rPr>
          <w:lang w:val="hu-HU"/>
        </w:rPr>
        <w:t>ozmoreceptorok</w:t>
      </w:r>
      <w:proofErr w:type="spellEnd"/>
      <w:r w:rsidRPr="005F370E">
        <w:rPr>
          <w:lang w:val="hu-HU"/>
        </w:rPr>
        <w:t xml:space="preserve">) szintén megemelkedik a </w:t>
      </w:r>
      <w:proofErr w:type="spellStart"/>
      <w:r w:rsidRPr="005F370E">
        <w:rPr>
          <w:lang w:val="hu-HU"/>
        </w:rPr>
        <w:t>glukózkoncentráció</w:t>
      </w:r>
      <w:proofErr w:type="spellEnd"/>
      <w:r w:rsidRPr="005F370E">
        <w:rPr>
          <w:lang w:val="hu-HU"/>
        </w:rPr>
        <w:t xml:space="preserve">, ami miatt sejtek vizet veszítenek, zsugorodnak, és szomjúságérzet alakul ki. Diabetesben jellemző is </w:t>
      </w:r>
      <w:proofErr w:type="spellStart"/>
      <w:r w:rsidRPr="005F370E">
        <w:rPr>
          <w:lang w:val="hu-HU"/>
        </w:rPr>
        <w:t>polydipsia</w:t>
      </w:r>
      <w:proofErr w:type="spellEnd"/>
      <w:r w:rsidRPr="005F370E">
        <w:rPr>
          <w:lang w:val="hu-HU"/>
        </w:rPr>
        <w:t>.</w:t>
      </w:r>
    </w:p>
    <w:p w:rsidR="00781712" w:rsidRPr="00781712" w:rsidRDefault="00781712" w:rsidP="00781712">
      <w:pPr>
        <w:spacing w:before="100" w:beforeAutospacing="1" w:after="100" w:afterAutospacing="1" w:line="240" w:lineRule="auto"/>
        <w:ind w:left="567"/>
        <w:rPr>
          <w:lang w:val="hu-HU"/>
        </w:rPr>
      </w:pPr>
    </w:p>
    <w:p w:rsidR="00781712" w:rsidRPr="00781712" w:rsidRDefault="005F370E" w:rsidP="007817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12">
        <w:rPr>
          <w:rFonts w:ascii="Times New Roman" w:hAnsi="Times New Roman" w:cs="Times New Roman"/>
          <w:b/>
          <w:sz w:val="24"/>
          <w:szCs w:val="24"/>
        </w:rPr>
        <w:t xml:space="preserve">A diabetes 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szindróma</w:t>
      </w:r>
      <w:proofErr w:type="spellEnd"/>
      <w:r w:rsidRPr="0078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diagnosztikus</w:t>
      </w:r>
      <w:proofErr w:type="spellEnd"/>
      <w:r w:rsidRPr="0078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kritériumai</w:t>
      </w:r>
      <w:proofErr w:type="spellEnd"/>
    </w:p>
    <w:p w:rsidR="005F370E" w:rsidRPr="005F370E" w:rsidRDefault="005F370E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b/>
          <w:lang w:val="hu-HU"/>
        </w:rPr>
        <w:t>1. lépés:</w:t>
      </w:r>
      <w:r w:rsidRPr="005F370E">
        <w:rPr>
          <w:lang w:val="hu-HU"/>
        </w:rPr>
        <w:t xml:space="preserve"> random (tetszőleges időpontban levett) vércukorérték vénás plazmában mérve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</w:t>
      </w:r>
      <w:proofErr w:type="gramStart"/>
      <w:r w:rsidRPr="005F370E">
        <w:rPr>
          <w:lang w:val="hu-HU"/>
        </w:rPr>
        <w:t xml:space="preserve">ez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11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>, és fennállnak a DM klasszikus tünetei (</w:t>
      </w:r>
      <w:proofErr w:type="spellStart"/>
      <w:r w:rsidRPr="005F370E">
        <w:rPr>
          <w:lang w:val="hu-HU"/>
        </w:rPr>
        <w:t>polyuria</w:t>
      </w:r>
      <w:proofErr w:type="spellEnd"/>
      <w:r w:rsidRPr="005F370E">
        <w:rPr>
          <w:lang w:val="hu-HU"/>
        </w:rPr>
        <w:t xml:space="preserve">, </w:t>
      </w:r>
      <w:proofErr w:type="spellStart"/>
      <w:r w:rsidRPr="005F370E">
        <w:rPr>
          <w:lang w:val="hu-HU"/>
        </w:rPr>
        <w:t>polydipsia</w:t>
      </w:r>
      <w:proofErr w:type="spellEnd"/>
      <w:r w:rsidRPr="005F370E">
        <w:rPr>
          <w:lang w:val="hu-HU"/>
        </w:rPr>
        <w:t xml:space="preserve">, fogyás, esetleg </w:t>
      </w:r>
      <w:proofErr w:type="spellStart"/>
      <w:r w:rsidRPr="005F370E">
        <w:rPr>
          <w:lang w:val="hu-HU"/>
        </w:rPr>
        <w:t>ketoacidosissal</w:t>
      </w:r>
      <w:proofErr w:type="spellEnd"/>
      <w:r w:rsidRPr="005F370E">
        <w:rPr>
          <w:lang w:val="hu-HU"/>
        </w:rPr>
        <w:t xml:space="preserve">), akkora dg.: </w:t>
      </w:r>
      <w:r w:rsidRPr="005F370E">
        <w:rPr>
          <w:b/>
          <w:lang w:val="hu-HU"/>
        </w:rPr>
        <w:t>DM</w:t>
      </w:r>
      <w:r w:rsidRPr="005F370E">
        <w:rPr>
          <w:lang w:val="hu-HU"/>
        </w:rPr>
        <w:t xml:space="preserve"> (ha nincsenek klasszikus tünetek, akkor éhgyomri mérés javasolt);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</w:t>
      </w:r>
      <w:proofErr w:type="gramStart"/>
      <w:r w:rsidRPr="005F370E">
        <w:rPr>
          <w:lang w:val="hu-HU"/>
        </w:rPr>
        <w:t xml:space="preserve">ez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5,</w:t>
      </w:r>
      <w:proofErr w:type="spellStart"/>
      <w:r w:rsidRPr="005F370E">
        <w:rPr>
          <w:b/>
          <w:lang w:val="hu-HU"/>
        </w:rPr>
        <w:t>5</w:t>
      </w:r>
      <w:proofErr w:type="spellEnd"/>
      <w:r w:rsidRPr="005F370E">
        <w:rPr>
          <w:b/>
          <w:lang w:val="hu-HU"/>
        </w:rPr>
        <w:t xml:space="preserve">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de nem éri el a 11,0 </w:t>
      </w:r>
      <w:proofErr w:type="spellStart"/>
      <w:r w:rsidRPr="005F370E">
        <w:rPr>
          <w:lang w:val="hu-HU"/>
        </w:rPr>
        <w:t>mM-t</w:t>
      </w:r>
      <w:proofErr w:type="spellEnd"/>
      <w:r w:rsidRPr="005F370E">
        <w:rPr>
          <w:lang w:val="hu-HU"/>
        </w:rPr>
        <w:t>, akkor éhgyomri értéket kell mérni (2. lépés);</w:t>
      </w:r>
    </w:p>
    <w:p w:rsidR="005F370E" w:rsidRPr="00E8080C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>ha ez</w:t>
      </w:r>
      <w:r w:rsidRPr="005F370E">
        <w:rPr>
          <w:b/>
          <w:lang w:val="hu-HU"/>
        </w:rPr>
        <w:t xml:space="preserve"> </w:t>
      </w:r>
      <w:proofErr w:type="gramStart"/>
      <w:r w:rsidRPr="005F370E">
        <w:rPr>
          <w:b/>
          <w:lang w:val="hu-HU"/>
        </w:rPr>
        <w:t>&lt; 5</w:t>
      </w:r>
      <w:proofErr w:type="gramEnd"/>
      <w:r w:rsidRPr="005F370E">
        <w:rPr>
          <w:b/>
          <w:lang w:val="hu-HU"/>
        </w:rPr>
        <w:t>,</w:t>
      </w:r>
      <w:proofErr w:type="spellStart"/>
      <w:r w:rsidRPr="005F370E">
        <w:rPr>
          <w:b/>
          <w:lang w:val="hu-HU"/>
        </w:rPr>
        <w:t>5</w:t>
      </w:r>
      <w:proofErr w:type="spellEnd"/>
      <w:r w:rsidRPr="005F370E">
        <w:rPr>
          <w:b/>
          <w:lang w:val="hu-HU"/>
        </w:rPr>
        <w:t xml:space="preserve">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>, akkor a cukorháztartás normális.</w:t>
      </w:r>
    </w:p>
    <w:p w:rsidR="005F370E" w:rsidRPr="005F370E" w:rsidRDefault="005F370E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b/>
          <w:lang w:val="hu-HU"/>
        </w:rPr>
        <w:t>2. lépés:</w:t>
      </w:r>
      <w:r w:rsidRPr="005F370E">
        <w:rPr>
          <w:lang w:val="hu-HU"/>
        </w:rPr>
        <w:t xml:space="preserve"> éhgyomri vércukormérés (min. 8 órás éhezés után, vénás plazmából)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</w:t>
      </w:r>
      <w:proofErr w:type="gramStart"/>
      <w:r w:rsidRPr="005F370E">
        <w:rPr>
          <w:lang w:val="hu-HU"/>
        </w:rPr>
        <w:t xml:space="preserve">ez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7,0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akkor ezt meg kell ismételni, ha másodszor is 7,0 </w:t>
      </w:r>
      <w:proofErr w:type="spellStart"/>
      <w:r w:rsidRPr="005F370E">
        <w:rPr>
          <w:lang w:val="hu-HU"/>
        </w:rPr>
        <w:t>mM</w:t>
      </w:r>
      <w:proofErr w:type="spellEnd"/>
      <w:r w:rsidRPr="005F370E">
        <w:rPr>
          <w:lang w:val="hu-HU"/>
        </w:rPr>
        <w:t xml:space="preserve">, akkor a dg.: </w:t>
      </w:r>
      <w:r w:rsidRPr="005F370E">
        <w:rPr>
          <w:b/>
          <w:lang w:val="hu-HU"/>
        </w:rPr>
        <w:t>DM</w:t>
      </w:r>
      <w:r w:rsidRPr="005F370E">
        <w:rPr>
          <w:lang w:val="hu-HU"/>
        </w:rPr>
        <w:t xml:space="preserve">, ha nem, akkor </w:t>
      </w:r>
      <w:proofErr w:type="spellStart"/>
      <w:r w:rsidRPr="005F370E">
        <w:rPr>
          <w:b/>
          <w:lang w:val="hu-HU"/>
        </w:rPr>
        <w:t>oGTT</w:t>
      </w:r>
      <w:proofErr w:type="spellEnd"/>
      <w:r w:rsidRPr="005F370E">
        <w:rPr>
          <w:lang w:val="hu-HU"/>
        </w:rPr>
        <w:t xml:space="preserve"> javasolt;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</w:t>
      </w:r>
      <w:proofErr w:type="gramStart"/>
      <w:r w:rsidRPr="005F370E">
        <w:rPr>
          <w:lang w:val="hu-HU"/>
        </w:rPr>
        <w:t xml:space="preserve">ez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6,0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de nem éri el a 7,0 </w:t>
      </w:r>
      <w:proofErr w:type="spellStart"/>
      <w:r w:rsidRPr="005F370E">
        <w:rPr>
          <w:lang w:val="hu-HU"/>
        </w:rPr>
        <w:t>mM-t</w:t>
      </w:r>
      <w:proofErr w:type="spellEnd"/>
      <w:r w:rsidRPr="005F370E">
        <w:rPr>
          <w:lang w:val="hu-HU"/>
        </w:rPr>
        <w:t xml:space="preserve">, akkor </w:t>
      </w:r>
      <w:proofErr w:type="spellStart"/>
      <w:r w:rsidRPr="005F370E">
        <w:rPr>
          <w:lang w:val="hu-HU"/>
        </w:rPr>
        <w:t>oGTT</w:t>
      </w:r>
      <w:proofErr w:type="spellEnd"/>
      <w:r w:rsidRPr="005F370E">
        <w:rPr>
          <w:lang w:val="hu-HU"/>
        </w:rPr>
        <w:t xml:space="preserve"> javasolt (3. lépés);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</w:t>
      </w:r>
      <w:proofErr w:type="gramStart"/>
      <w:r w:rsidRPr="005F370E">
        <w:rPr>
          <w:lang w:val="hu-HU"/>
        </w:rPr>
        <w:t xml:space="preserve">ez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5,0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de nem haladja meg a 6,0 </w:t>
      </w:r>
      <w:proofErr w:type="spellStart"/>
      <w:r w:rsidRPr="005F370E">
        <w:rPr>
          <w:lang w:val="hu-HU"/>
        </w:rPr>
        <w:t>mM-t</w:t>
      </w:r>
      <w:proofErr w:type="spellEnd"/>
      <w:r w:rsidRPr="005F370E">
        <w:rPr>
          <w:lang w:val="hu-HU"/>
        </w:rPr>
        <w:t>, akkor időszakos (3 évenkénti) ellenőrzés javasolt;</w:t>
      </w:r>
    </w:p>
    <w:p w:rsidR="00E8080C" w:rsidRPr="00E8080C" w:rsidRDefault="005F370E" w:rsidP="00E8080C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ez </w:t>
      </w:r>
      <w:proofErr w:type="gramStart"/>
      <w:r w:rsidRPr="005F370E">
        <w:rPr>
          <w:b/>
          <w:lang w:val="hu-HU"/>
        </w:rPr>
        <w:t>&lt; 5</w:t>
      </w:r>
      <w:proofErr w:type="gramEnd"/>
      <w:r w:rsidRPr="005F370E">
        <w:rPr>
          <w:b/>
          <w:lang w:val="hu-HU"/>
        </w:rPr>
        <w:t xml:space="preserve">,0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>, akkor a cukorháztartás normális.</w:t>
      </w:r>
    </w:p>
    <w:p w:rsidR="005F370E" w:rsidRPr="005F370E" w:rsidRDefault="005F370E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b/>
          <w:lang w:val="hu-HU"/>
        </w:rPr>
        <w:t>3. lépés:</w:t>
      </w:r>
      <w:r w:rsidRPr="005F370E">
        <w:rPr>
          <w:lang w:val="hu-HU"/>
        </w:rPr>
        <w:t xml:space="preserve"> orális </w:t>
      </w:r>
      <w:proofErr w:type="spellStart"/>
      <w:r w:rsidRPr="005F370E">
        <w:rPr>
          <w:lang w:val="hu-HU"/>
        </w:rPr>
        <w:t>glükóztolerancia</w:t>
      </w:r>
      <w:proofErr w:type="spellEnd"/>
      <w:r w:rsidRPr="005F370E">
        <w:rPr>
          <w:lang w:val="hu-HU"/>
        </w:rPr>
        <w:t xml:space="preserve"> teszt (</w:t>
      </w:r>
      <w:proofErr w:type="spellStart"/>
      <w:r w:rsidRPr="005F370E">
        <w:rPr>
          <w:lang w:val="hu-HU"/>
        </w:rPr>
        <w:t>oGTT</w:t>
      </w:r>
      <w:proofErr w:type="spellEnd"/>
      <w:r w:rsidRPr="005F370E">
        <w:rPr>
          <w:lang w:val="hu-HU"/>
        </w:rPr>
        <w:t>)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>csak éhgyomri és 2 órás mérést végzünk;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a 2 órás </w:t>
      </w:r>
      <w:proofErr w:type="gramStart"/>
      <w:r w:rsidRPr="005F370E">
        <w:rPr>
          <w:lang w:val="hu-HU"/>
        </w:rPr>
        <w:t xml:space="preserve">érték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11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akkor a dg.: </w:t>
      </w:r>
      <w:r w:rsidRPr="005F370E">
        <w:rPr>
          <w:b/>
          <w:lang w:val="hu-HU"/>
        </w:rPr>
        <w:t>DM</w:t>
      </w:r>
      <w:r w:rsidRPr="005F370E">
        <w:rPr>
          <w:lang w:val="hu-HU"/>
        </w:rPr>
        <w:t>;</w:t>
      </w:r>
    </w:p>
    <w:p w:rsidR="005F370E" w:rsidRP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a 2 órás </w:t>
      </w:r>
      <w:proofErr w:type="gramStart"/>
      <w:r w:rsidRPr="005F370E">
        <w:rPr>
          <w:lang w:val="hu-HU"/>
        </w:rPr>
        <w:t xml:space="preserve">érték </w:t>
      </w:r>
      <w:r w:rsidRPr="005F370E">
        <w:rPr>
          <w:b/>
          <w:lang w:val="hu-HU"/>
        </w:rPr>
        <w:t>&gt;</w:t>
      </w:r>
      <w:proofErr w:type="gramEnd"/>
      <w:r w:rsidRPr="005F370E">
        <w:rPr>
          <w:b/>
          <w:lang w:val="hu-HU"/>
        </w:rPr>
        <w:t xml:space="preserve"> 7,8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akkor a dg.: </w:t>
      </w:r>
      <w:r w:rsidRPr="005F370E">
        <w:rPr>
          <w:b/>
          <w:lang w:val="hu-HU"/>
        </w:rPr>
        <w:t>IGT</w:t>
      </w:r>
      <w:r w:rsidRPr="005F370E">
        <w:rPr>
          <w:lang w:val="hu-HU"/>
        </w:rPr>
        <w:t xml:space="preserve"> (</w:t>
      </w:r>
      <w:proofErr w:type="spellStart"/>
      <w:r w:rsidRPr="005F370E">
        <w:rPr>
          <w:lang w:val="hu-HU"/>
        </w:rPr>
        <w:t>impaired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glucose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tolerance</w:t>
      </w:r>
      <w:proofErr w:type="spellEnd"/>
      <w:r w:rsidRPr="005F370E">
        <w:rPr>
          <w:lang w:val="hu-HU"/>
        </w:rPr>
        <w:t xml:space="preserve">, csökkent </w:t>
      </w:r>
      <w:proofErr w:type="spellStart"/>
      <w:r w:rsidRPr="005F370E">
        <w:rPr>
          <w:lang w:val="hu-HU"/>
        </w:rPr>
        <w:t>glükóztolerancia</w:t>
      </w:r>
      <w:proofErr w:type="spellEnd"/>
      <w:r w:rsidRPr="005F370E">
        <w:rPr>
          <w:lang w:val="hu-HU"/>
        </w:rPr>
        <w:t>);</w:t>
      </w:r>
    </w:p>
    <w:p w:rsidR="005F370E" w:rsidRDefault="005F370E" w:rsidP="007F27EA">
      <w:pPr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5F370E">
        <w:rPr>
          <w:lang w:val="hu-HU"/>
        </w:rPr>
        <w:t xml:space="preserve">ha a 2 órás érték </w:t>
      </w:r>
      <w:proofErr w:type="gramStart"/>
      <w:r w:rsidRPr="005F370E">
        <w:rPr>
          <w:b/>
          <w:lang w:val="hu-HU"/>
        </w:rPr>
        <w:t>&lt; 7</w:t>
      </w:r>
      <w:proofErr w:type="gramEnd"/>
      <w:r w:rsidRPr="005F370E">
        <w:rPr>
          <w:b/>
          <w:lang w:val="hu-HU"/>
        </w:rPr>
        <w:t xml:space="preserve">,8 </w:t>
      </w:r>
      <w:proofErr w:type="spellStart"/>
      <w:r w:rsidRPr="005F370E">
        <w:rPr>
          <w:b/>
          <w:lang w:val="hu-HU"/>
        </w:rPr>
        <w:t>mM</w:t>
      </w:r>
      <w:proofErr w:type="spellEnd"/>
      <w:r w:rsidRPr="005F370E">
        <w:rPr>
          <w:lang w:val="hu-HU"/>
        </w:rPr>
        <w:t xml:space="preserve">, akkor a dg.: </w:t>
      </w:r>
      <w:r w:rsidRPr="005F370E">
        <w:rPr>
          <w:b/>
          <w:lang w:val="hu-HU"/>
        </w:rPr>
        <w:t>IFG</w:t>
      </w:r>
      <w:r w:rsidRPr="005F370E">
        <w:rPr>
          <w:lang w:val="hu-HU"/>
        </w:rPr>
        <w:t xml:space="preserve"> (</w:t>
      </w:r>
      <w:proofErr w:type="spellStart"/>
      <w:r w:rsidRPr="005F370E">
        <w:rPr>
          <w:lang w:val="hu-HU"/>
        </w:rPr>
        <w:t>impaired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fasting</w:t>
      </w:r>
      <w:proofErr w:type="spellEnd"/>
      <w:r w:rsidRPr="005F370E">
        <w:rPr>
          <w:lang w:val="hu-HU"/>
        </w:rPr>
        <w:t xml:space="preserve"> </w:t>
      </w:r>
      <w:proofErr w:type="spellStart"/>
      <w:r w:rsidRPr="005F370E">
        <w:rPr>
          <w:lang w:val="hu-HU"/>
        </w:rPr>
        <w:t>glucose</w:t>
      </w:r>
      <w:proofErr w:type="spellEnd"/>
      <w:r w:rsidRPr="005F370E">
        <w:rPr>
          <w:lang w:val="hu-HU"/>
        </w:rPr>
        <w:t xml:space="preserve">, emelkedett </w:t>
      </w:r>
      <w:proofErr w:type="spellStart"/>
      <w:r w:rsidRPr="005F370E">
        <w:rPr>
          <w:lang w:val="hu-HU"/>
        </w:rPr>
        <w:t>éhomi</w:t>
      </w:r>
      <w:proofErr w:type="spellEnd"/>
      <w:r w:rsidRPr="005F370E">
        <w:rPr>
          <w:lang w:val="hu-HU"/>
        </w:rPr>
        <w:t xml:space="preserve"> vércukor).</w:t>
      </w:r>
    </w:p>
    <w:p w:rsidR="007F27EA" w:rsidRPr="00E8080C" w:rsidRDefault="007F27EA" w:rsidP="00E8080C">
      <w:pPr>
        <w:spacing w:before="100" w:beforeAutospacing="1" w:after="100" w:afterAutospacing="1" w:line="240" w:lineRule="auto"/>
        <w:ind w:left="425"/>
        <w:jc w:val="both"/>
        <w:rPr>
          <w:rFonts w:ascii="Comic Sans MS" w:hAnsi="Comic Sans MS"/>
          <w:b/>
        </w:rPr>
      </w:pPr>
    </w:p>
    <w:p w:rsidR="00781712" w:rsidRPr="00781712" w:rsidRDefault="0090658B" w:rsidP="007817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12">
        <w:rPr>
          <w:rFonts w:ascii="Times New Roman" w:hAnsi="Times New Roman" w:cs="Times New Roman"/>
          <w:b/>
          <w:sz w:val="24"/>
          <w:szCs w:val="24"/>
        </w:rPr>
        <w:t>A diabetes m</w:t>
      </w:r>
      <w:r w:rsidR="00781712">
        <w:rPr>
          <w:rFonts w:ascii="Times New Roman" w:hAnsi="Times New Roman" w:cs="Times New Roman"/>
          <w:b/>
          <w:sz w:val="24"/>
          <w:szCs w:val="24"/>
        </w:rPr>
        <w:t xml:space="preserve">ellitus </w:t>
      </w:r>
      <w:proofErr w:type="spellStart"/>
      <w:r w:rsidR="00781712">
        <w:rPr>
          <w:rFonts w:ascii="Times New Roman" w:hAnsi="Times New Roman" w:cs="Times New Roman"/>
          <w:b/>
          <w:sz w:val="24"/>
          <w:szCs w:val="24"/>
        </w:rPr>
        <w:t>etiológiai</w:t>
      </w:r>
      <w:proofErr w:type="spellEnd"/>
      <w:r w:rsidR="0078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712">
        <w:rPr>
          <w:rFonts w:ascii="Times New Roman" w:hAnsi="Times New Roman" w:cs="Times New Roman"/>
          <w:b/>
          <w:sz w:val="24"/>
          <w:szCs w:val="24"/>
        </w:rPr>
        <w:t>osztályozása</w:t>
      </w:r>
      <w:proofErr w:type="spellEnd"/>
    </w:p>
    <w:p w:rsidR="0090658B" w:rsidRPr="007F27EA" w:rsidRDefault="0090658B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8080C">
        <w:rPr>
          <w:b/>
          <w:lang w:val="hu-HU"/>
        </w:rPr>
        <w:t>I-es</w:t>
      </w:r>
      <w:proofErr w:type="spellEnd"/>
      <w:r w:rsidRPr="00E8080C">
        <w:rPr>
          <w:b/>
          <w:lang w:val="hu-HU"/>
        </w:rPr>
        <w:t xml:space="preserve"> típusú dia</w:t>
      </w:r>
      <w:r w:rsidR="007F27EA" w:rsidRPr="00E8080C">
        <w:rPr>
          <w:b/>
          <w:lang w:val="hu-HU"/>
        </w:rPr>
        <w:t>betes mellitus</w:t>
      </w:r>
      <w:r w:rsidR="007F27EA" w:rsidRPr="007F27EA">
        <w:rPr>
          <w:lang w:val="hu-HU"/>
        </w:rPr>
        <w:t xml:space="preserve">: </w:t>
      </w:r>
      <w:proofErr w:type="spellStart"/>
      <w:r w:rsidRPr="007F27EA">
        <w:rPr>
          <w:lang w:val="hu-HU"/>
        </w:rPr>
        <w:t>ß-sejt</w:t>
      </w:r>
      <w:proofErr w:type="spellEnd"/>
      <w:r w:rsidRPr="007F27EA">
        <w:rPr>
          <w:lang w:val="hu-HU"/>
        </w:rPr>
        <w:t xml:space="preserve"> pusztulás jellemzi, amely általában abszolút inzulinhiányhoz vezet</w:t>
      </w:r>
    </w:p>
    <w:p w:rsidR="0090658B" w:rsidRPr="007F27EA" w:rsidRDefault="0090658B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8080C">
        <w:rPr>
          <w:b/>
          <w:lang w:val="hu-HU"/>
        </w:rPr>
        <w:t>II-es</w:t>
      </w:r>
      <w:proofErr w:type="spellEnd"/>
      <w:r w:rsidRPr="00E8080C">
        <w:rPr>
          <w:b/>
          <w:lang w:val="hu-HU"/>
        </w:rPr>
        <w:t xml:space="preserve"> típusú diabetes mellitus</w:t>
      </w:r>
      <w:r w:rsidRPr="007F27EA">
        <w:rPr>
          <w:lang w:val="hu-HU"/>
        </w:rPr>
        <w:t>:</w:t>
      </w:r>
      <w:r w:rsidR="007F27EA" w:rsidRPr="007F27EA">
        <w:rPr>
          <w:lang w:val="hu-HU"/>
        </w:rPr>
        <w:t xml:space="preserve"> </w:t>
      </w:r>
      <w:r w:rsidRPr="007F27EA">
        <w:rPr>
          <w:lang w:val="hu-HU"/>
        </w:rPr>
        <w:t xml:space="preserve">az </w:t>
      </w:r>
      <w:proofErr w:type="spellStart"/>
      <w:r w:rsidRPr="007F27EA">
        <w:rPr>
          <w:lang w:val="hu-HU"/>
        </w:rPr>
        <w:t>inzulinrezisztentiát</w:t>
      </w:r>
      <w:proofErr w:type="spellEnd"/>
      <w:r w:rsidRPr="007F27EA">
        <w:rPr>
          <w:lang w:val="hu-HU"/>
        </w:rPr>
        <w:t xml:space="preserve"> és relatív </w:t>
      </w:r>
      <w:proofErr w:type="gramStart"/>
      <w:r w:rsidRPr="007F27EA">
        <w:rPr>
          <w:lang w:val="hu-HU"/>
        </w:rPr>
        <w:t>inzulinhiányt  jelentő</w:t>
      </w:r>
      <w:proofErr w:type="gramEnd"/>
      <w:r w:rsidRPr="007F27EA">
        <w:rPr>
          <w:lang w:val="hu-HU"/>
        </w:rPr>
        <w:t xml:space="preserve"> formáktól a szekréciós zavart és</w:t>
      </w:r>
      <w:r w:rsidR="007F27EA" w:rsidRPr="007F27EA">
        <w:rPr>
          <w:lang w:val="hu-HU"/>
        </w:rPr>
        <w:t xml:space="preserve"> </w:t>
      </w:r>
      <w:proofErr w:type="spellStart"/>
      <w:r w:rsidRPr="007F27EA">
        <w:rPr>
          <w:lang w:val="hu-HU"/>
        </w:rPr>
        <w:t>inzulinrezisztentiát</w:t>
      </w:r>
      <w:proofErr w:type="spellEnd"/>
      <w:r w:rsidRPr="007F27EA">
        <w:rPr>
          <w:lang w:val="hu-HU"/>
        </w:rPr>
        <w:t xml:space="preserve">  jelentő formákig terjedhet</w:t>
      </w:r>
    </w:p>
    <w:p w:rsidR="0090658B" w:rsidRPr="006E4B30" w:rsidRDefault="007F27EA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8080C">
        <w:rPr>
          <w:b/>
          <w:lang w:val="hu-HU"/>
        </w:rPr>
        <w:t>gestatiós</w:t>
      </w:r>
      <w:proofErr w:type="spellEnd"/>
      <w:r w:rsidRPr="00E8080C">
        <w:rPr>
          <w:b/>
          <w:lang w:val="hu-HU"/>
        </w:rPr>
        <w:t xml:space="preserve"> diabetes mellitus</w:t>
      </w:r>
      <w:r w:rsidR="006E4B30">
        <w:rPr>
          <w:b/>
          <w:lang w:val="hu-HU"/>
        </w:rPr>
        <w:t xml:space="preserve">: </w:t>
      </w:r>
      <w:r w:rsidR="006E4B30" w:rsidRPr="006E4B30">
        <w:rPr>
          <w:lang w:val="hu-HU"/>
        </w:rPr>
        <w:t>terhesség alatt</w:t>
      </w:r>
    </w:p>
    <w:p w:rsidR="0090658B" w:rsidRPr="00E8080C" w:rsidRDefault="0090658B" w:rsidP="007F27EA">
      <w:pPr>
        <w:numPr>
          <w:ilvl w:val="1"/>
          <w:numId w:val="14"/>
        </w:numPr>
        <w:spacing w:before="100" w:beforeAutospacing="1" w:after="100" w:afterAutospacing="1" w:line="240" w:lineRule="auto"/>
        <w:rPr>
          <w:b/>
          <w:lang w:val="hu-HU"/>
        </w:rPr>
      </w:pPr>
      <w:r w:rsidRPr="00E8080C">
        <w:rPr>
          <w:b/>
          <w:lang w:val="hu-HU"/>
        </w:rPr>
        <w:t>egyéb specifikus típusok: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7F27EA">
        <w:rPr>
          <w:lang w:val="hu-HU"/>
        </w:rPr>
        <w:t>ß-sejt</w:t>
      </w:r>
      <w:proofErr w:type="spellEnd"/>
      <w:r w:rsidRPr="007F27EA">
        <w:rPr>
          <w:lang w:val="hu-HU"/>
        </w:rPr>
        <w:t xml:space="preserve"> funkció genetikai zavara: (MODY: 7-, 12-, 20- kromoszóma és </w:t>
      </w:r>
      <w:proofErr w:type="spellStart"/>
      <w:r w:rsidRPr="007F27EA">
        <w:rPr>
          <w:lang w:val="hu-HU"/>
        </w:rPr>
        <w:t>mitokondriális</w:t>
      </w:r>
      <w:proofErr w:type="spellEnd"/>
      <w:r w:rsidRPr="007F27EA">
        <w:rPr>
          <w:lang w:val="hu-HU"/>
        </w:rPr>
        <w:t xml:space="preserve"> DNS)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>Inzulinhatás genetikai zavara</w:t>
      </w:r>
      <w:proofErr w:type="gramStart"/>
      <w:r w:rsidRPr="007F27EA">
        <w:rPr>
          <w:lang w:val="hu-HU"/>
        </w:rPr>
        <w:t>:  (</w:t>
      </w:r>
      <w:proofErr w:type="gramEnd"/>
      <w:r w:rsidRPr="007F27EA">
        <w:rPr>
          <w:lang w:val="hu-HU"/>
        </w:rPr>
        <w:t xml:space="preserve">„A” típusú </w:t>
      </w:r>
      <w:proofErr w:type="spellStart"/>
      <w:r w:rsidRPr="007F27EA">
        <w:rPr>
          <w:lang w:val="hu-HU"/>
        </w:rPr>
        <w:t>insulinresistencia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Rabson-Mendenhall-sy</w:t>
      </w:r>
      <w:proofErr w:type="spellEnd"/>
      <w:r w:rsidRPr="007F27EA">
        <w:rPr>
          <w:lang w:val="hu-HU"/>
        </w:rPr>
        <w:t>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7F27EA">
        <w:rPr>
          <w:lang w:val="hu-HU"/>
        </w:rPr>
        <w:t>exocrin</w:t>
      </w:r>
      <w:proofErr w:type="spellEnd"/>
      <w:r w:rsidRPr="007F27EA">
        <w:rPr>
          <w:lang w:val="hu-HU"/>
        </w:rPr>
        <w:t xml:space="preserve"> </w:t>
      </w:r>
      <w:proofErr w:type="spellStart"/>
      <w:r w:rsidRPr="007F27EA">
        <w:rPr>
          <w:lang w:val="hu-HU"/>
        </w:rPr>
        <w:t>pancreasbetegség</w:t>
      </w:r>
      <w:proofErr w:type="spellEnd"/>
      <w:proofErr w:type="gramStart"/>
      <w:r w:rsidRPr="007F27EA">
        <w:rPr>
          <w:lang w:val="hu-HU"/>
        </w:rPr>
        <w:t>:  (</w:t>
      </w:r>
      <w:proofErr w:type="gramEnd"/>
      <w:r w:rsidRPr="007F27EA">
        <w:rPr>
          <w:lang w:val="hu-HU"/>
        </w:rPr>
        <w:t xml:space="preserve">gyulladás, trauma, </w:t>
      </w:r>
      <w:proofErr w:type="spellStart"/>
      <w:r w:rsidRPr="007F27EA">
        <w:rPr>
          <w:lang w:val="hu-HU"/>
        </w:rPr>
        <w:t>malignitás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cysticus</w:t>
      </w:r>
      <w:proofErr w:type="spellEnd"/>
      <w:r w:rsidRPr="007F27EA">
        <w:rPr>
          <w:lang w:val="hu-HU"/>
        </w:rPr>
        <w:t xml:space="preserve"> </w:t>
      </w:r>
      <w:proofErr w:type="spellStart"/>
      <w:r w:rsidRPr="007F27EA">
        <w:rPr>
          <w:lang w:val="hu-HU"/>
        </w:rPr>
        <w:t>fibrosis</w:t>
      </w:r>
      <w:proofErr w:type="spellEnd"/>
      <w:r w:rsidRPr="007F27EA">
        <w:rPr>
          <w:lang w:val="hu-HU"/>
        </w:rPr>
        <w:t>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>endokrin kórképek</w:t>
      </w:r>
      <w:proofErr w:type="gramStart"/>
      <w:r w:rsidRPr="007F27EA">
        <w:rPr>
          <w:lang w:val="hu-HU"/>
        </w:rPr>
        <w:t>:  (</w:t>
      </w:r>
      <w:proofErr w:type="spellStart"/>
      <w:proofErr w:type="gramEnd"/>
      <w:r w:rsidRPr="007F27EA">
        <w:rPr>
          <w:lang w:val="hu-HU"/>
        </w:rPr>
        <w:t>acromegalia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Cushing-sy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hyperthyreosis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phaeochromocitoma</w:t>
      </w:r>
      <w:proofErr w:type="spellEnd"/>
      <w:r w:rsidRPr="007F27EA">
        <w:rPr>
          <w:lang w:val="hu-HU"/>
        </w:rPr>
        <w:t>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>gyógyszerek</w:t>
      </w:r>
      <w:proofErr w:type="gramStart"/>
      <w:r w:rsidRPr="007F27EA">
        <w:rPr>
          <w:lang w:val="hu-HU"/>
        </w:rPr>
        <w:t>:  (</w:t>
      </w:r>
      <w:proofErr w:type="spellStart"/>
      <w:proofErr w:type="gramEnd"/>
      <w:r w:rsidRPr="007F27EA">
        <w:rPr>
          <w:lang w:val="hu-HU"/>
        </w:rPr>
        <w:t>pentamidin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nicotinsav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glucocorticoidok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thiazidok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ß-adrenerg</w:t>
      </w:r>
      <w:proofErr w:type="spellEnd"/>
      <w:r w:rsidRPr="007F27EA">
        <w:rPr>
          <w:lang w:val="hu-HU"/>
        </w:rPr>
        <w:t xml:space="preserve"> </w:t>
      </w:r>
      <w:proofErr w:type="spellStart"/>
      <w:r w:rsidRPr="007F27EA">
        <w:rPr>
          <w:lang w:val="hu-HU"/>
        </w:rPr>
        <w:t>agonisták</w:t>
      </w:r>
      <w:proofErr w:type="spellEnd"/>
      <w:r w:rsidRPr="007F27EA">
        <w:rPr>
          <w:lang w:val="hu-HU"/>
        </w:rPr>
        <w:t>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>fertőzések</w:t>
      </w:r>
      <w:proofErr w:type="gramStart"/>
      <w:r w:rsidRPr="007F27EA">
        <w:rPr>
          <w:lang w:val="hu-HU"/>
        </w:rPr>
        <w:t>:  (</w:t>
      </w:r>
      <w:proofErr w:type="gramEnd"/>
      <w:r w:rsidRPr="007F27EA">
        <w:rPr>
          <w:lang w:val="hu-HU"/>
        </w:rPr>
        <w:t xml:space="preserve">veleszületett rubeola, </w:t>
      </w:r>
      <w:proofErr w:type="spellStart"/>
      <w:r w:rsidRPr="007F27EA">
        <w:rPr>
          <w:lang w:val="hu-HU"/>
        </w:rPr>
        <w:t>cytomegalovírus</w:t>
      </w:r>
      <w:proofErr w:type="spellEnd"/>
      <w:r w:rsidRPr="007F27EA">
        <w:rPr>
          <w:lang w:val="hu-HU"/>
        </w:rPr>
        <w:t>)</w:t>
      </w:r>
    </w:p>
    <w:p w:rsidR="0090658B" w:rsidRPr="007F27EA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>Immun-eredetű diabetes ritka formái</w:t>
      </w:r>
      <w:proofErr w:type="gramStart"/>
      <w:r w:rsidRPr="007F27EA">
        <w:rPr>
          <w:lang w:val="hu-HU"/>
        </w:rPr>
        <w:t>:  (</w:t>
      </w:r>
      <w:proofErr w:type="spellStart"/>
      <w:proofErr w:type="gramEnd"/>
      <w:r w:rsidRPr="007F27EA">
        <w:rPr>
          <w:lang w:val="hu-HU"/>
        </w:rPr>
        <w:t>Stiff-man-sy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antiinzulin</w:t>
      </w:r>
      <w:proofErr w:type="spellEnd"/>
      <w:r w:rsidRPr="007F27EA">
        <w:rPr>
          <w:lang w:val="hu-HU"/>
        </w:rPr>
        <w:t xml:space="preserve"> receptor ellenanyagok)</w:t>
      </w:r>
    </w:p>
    <w:p w:rsidR="0090658B" w:rsidRDefault="0090658B" w:rsidP="007F27EA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7F27EA">
        <w:rPr>
          <w:lang w:val="hu-HU"/>
        </w:rPr>
        <w:t xml:space="preserve">Genetikai szindrómák, melyeket cukorbetegség </w:t>
      </w:r>
      <w:proofErr w:type="spellStart"/>
      <w:r w:rsidRPr="007F27EA">
        <w:rPr>
          <w:lang w:val="hu-HU"/>
        </w:rPr>
        <w:t>kisérhet</w:t>
      </w:r>
      <w:proofErr w:type="spellEnd"/>
      <w:r w:rsidRPr="007F27EA">
        <w:rPr>
          <w:lang w:val="hu-HU"/>
        </w:rPr>
        <w:t>: (</w:t>
      </w:r>
      <w:proofErr w:type="spellStart"/>
      <w:r w:rsidRPr="007F27EA">
        <w:rPr>
          <w:lang w:val="hu-HU"/>
        </w:rPr>
        <w:t>Down-sy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Turner-sy</w:t>
      </w:r>
      <w:proofErr w:type="spellEnd"/>
      <w:proofErr w:type="gramStart"/>
      <w:r w:rsidRPr="007F27EA">
        <w:rPr>
          <w:lang w:val="hu-HU"/>
        </w:rPr>
        <w:t>,</w:t>
      </w:r>
      <w:proofErr w:type="spellStart"/>
      <w:r w:rsidRPr="007F27EA">
        <w:rPr>
          <w:lang w:val="hu-HU"/>
        </w:rPr>
        <w:t>Klinefelter-sy</w:t>
      </w:r>
      <w:proofErr w:type="spellEnd"/>
      <w:proofErr w:type="gramEnd"/>
      <w:r w:rsidRPr="007F27EA">
        <w:rPr>
          <w:lang w:val="hu-HU"/>
        </w:rPr>
        <w:t xml:space="preserve">,Huntington </w:t>
      </w:r>
      <w:proofErr w:type="spellStart"/>
      <w:r w:rsidRPr="007F27EA">
        <w:rPr>
          <w:lang w:val="hu-HU"/>
        </w:rPr>
        <w:t>chorea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porphyria</w:t>
      </w:r>
      <w:proofErr w:type="spellEnd"/>
      <w:r w:rsidRPr="007F27EA">
        <w:rPr>
          <w:lang w:val="hu-HU"/>
        </w:rPr>
        <w:t xml:space="preserve">, </w:t>
      </w:r>
      <w:proofErr w:type="spellStart"/>
      <w:r w:rsidRPr="007F27EA">
        <w:rPr>
          <w:lang w:val="hu-HU"/>
        </w:rPr>
        <w:t>myotóniás</w:t>
      </w:r>
      <w:proofErr w:type="spellEnd"/>
      <w:r w:rsidRPr="007F27EA">
        <w:rPr>
          <w:lang w:val="hu-HU"/>
        </w:rPr>
        <w:t xml:space="preserve"> </w:t>
      </w:r>
      <w:proofErr w:type="spellStart"/>
      <w:r w:rsidRPr="007F27EA">
        <w:rPr>
          <w:lang w:val="hu-HU"/>
        </w:rPr>
        <w:t>dystrophia</w:t>
      </w:r>
      <w:proofErr w:type="spellEnd"/>
      <w:r w:rsidRPr="007F27EA">
        <w:rPr>
          <w:lang w:val="hu-HU"/>
        </w:rPr>
        <w:t>)</w:t>
      </w:r>
    </w:p>
    <w:p w:rsidR="00E8080C" w:rsidRDefault="00E8080C" w:rsidP="00E8080C">
      <w:pPr>
        <w:spacing w:before="100" w:beforeAutospacing="1" w:after="100" w:afterAutospacing="1" w:line="240" w:lineRule="auto"/>
        <w:rPr>
          <w:lang w:val="hu-HU"/>
        </w:rPr>
      </w:pPr>
    </w:p>
    <w:p w:rsidR="00E8080C" w:rsidRPr="00781712" w:rsidRDefault="00E8080C" w:rsidP="00E8080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781712">
        <w:rPr>
          <w:rFonts w:ascii="Times New Roman" w:hAnsi="Times New Roman" w:cs="Times New Roman"/>
          <w:b/>
          <w:sz w:val="24"/>
          <w:szCs w:val="24"/>
        </w:rPr>
        <w:t xml:space="preserve"> I-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78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típu</w:t>
      </w:r>
      <w:r w:rsidR="00B7357F" w:rsidRPr="00781712">
        <w:rPr>
          <w:rFonts w:ascii="Times New Roman" w:hAnsi="Times New Roman" w:cs="Times New Roman"/>
          <w:b/>
          <w:sz w:val="24"/>
          <w:szCs w:val="24"/>
        </w:rPr>
        <w:t>sú</w:t>
      </w:r>
      <w:proofErr w:type="spellEnd"/>
      <w:r w:rsidR="00B7357F" w:rsidRPr="00781712">
        <w:rPr>
          <w:rFonts w:ascii="Times New Roman" w:hAnsi="Times New Roman" w:cs="Times New Roman"/>
          <w:b/>
          <w:sz w:val="24"/>
          <w:szCs w:val="24"/>
        </w:rPr>
        <w:t xml:space="preserve"> diabetes mellitus</w:t>
      </w:r>
    </w:p>
    <w:p w:rsidR="00E8080C" w:rsidRPr="00E8080C" w:rsidRDefault="00E8080C" w:rsidP="00E8080C">
      <w:pPr>
        <w:numPr>
          <w:ilvl w:val="1"/>
          <w:numId w:val="14"/>
        </w:numPr>
        <w:spacing w:before="100" w:beforeAutospacing="1" w:after="100" w:afterAutospacing="1" w:line="240" w:lineRule="auto"/>
        <w:rPr>
          <w:b/>
          <w:lang w:val="hu-HU"/>
        </w:rPr>
      </w:pPr>
      <w:proofErr w:type="spellStart"/>
      <w:r w:rsidRPr="00E8080C">
        <w:rPr>
          <w:b/>
          <w:lang w:val="hu-HU"/>
        </w:rPr>
        <w:t>-I-es</w:t>
      </w:r>
      <w:proofErr w:type="spellEnd"/>
      <w:r w:rsidRPr="00E8080C">
        <w:rPr>
          <w:b/>
          <w:lang w:val="hu-HU"/>
        </w:rPr>
        <w:t xml:space="preserve"> típusú autoimmun DM (IA típus)</w:t>
      </w:r>
    </w:p>
    <w:p w:rsidR="00E8080C" w:rsidRPr="00E8080C" w:rsidRDefault="00E8080C" w:rsidP="00E8080C">
      <w:pPr>
        <w:numPr>
          <w:ilvl w:val="1"/>
          <w:numId w:val="14"/>
        </w:numPr>
        <w:spacing w:before="100" w:beforeAutospacing="1" w:after="100" w:afterAutospacing="1" w:line="240" w:lineRule="auto"/>
        <w:rPr>
          <w:b/>
          <w:lang w:val="hu-HU"/>
        </w:rPr>
      </w:pPr>
      <w:proofErr w:type="spellStart"/>
      <w:r w:rsidRPr="00E8080C">
        <w:rPr>
          <w:b/>
          <w:lang w:val="hu-HU"/>
        </w:rPr>
        <w:t>-I-es</w:t>
      </w:r>
      <w:proofErr w:type="spellEnd"/>
      <w:r w:rsidRPr="00E8080C">
        <w:rPr>
          <w:b/>
          <w:lang w:val="hu-HU"/>
        </w:rPr>
        <w:t xml:space="preserve"> </w:t>
      </w:r>
      <w:proofErr w:type="gramStart"/>
      <w:r w:rsidRPr="00E8080C">
        <w:rPr>
          <w:b/>
          <w:lang w:val="hu-HU"/>
        </w:rPr>
        <w:t xml:space="preserve">típusú  </w:t>
      </w:r>
      <w:proofErr w:type="spellStart"/>
      <w:r w:rsidRPr="00E8080C">
        <w:rPr>
          <w:b/>
          <w:lang w:val="hu-HU"/>
        </w:rPr>
        <w:t>idiopathiás</w:t>
      </w:r>
      <w:proofErr w:type="spellEnd"/>
      <w:proofErr w:type="gramEnd"/>
      <w:r w:rsidRPr="00E8080C">
        <w:rPr>
          <w:b/>
          <w:lang w:val="hu-HU"/>
        </w:rPr>
        <w:t xml:space="preserve"> DM (IB típus)</w:t>
      </w:r>
    </w:p>
    <w:p w:rsidR="0090658B" w:rsidRPr="00B52B91" w:rsidRDefault="00E8080C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E8080C">
        <w:rPr>
          <w:lang w:val="hu-HU"/>
        </w:rPr>
        <w:t>Az IB típus előfordulása ritka, öröklődő forma, nincs autoimmun mechanizmus, változó inzulinigény</w:t>
      </w:r>
      <w:r w:rsidR="00B52B91">
        <w:rPr>
          <w:lang w:val="hu-HU"/>
        </w:rPr>
        <w:t xml:space="preserve"> </w:t>
      </w:r>
      <w:r w:rsidRPr="00B52B91">
        <w:rPr>
          <w:lang w:val="hu-HU"/>
        </w:rPr>
        <w:t>jellemzi és elsősorban ázsiai vagy afrikai betegek érintettek.</w:t>
      </w:r>
    </w:p>
    <w:p w:rsidR="00B52B91" w:rsidRPr="00B52B91" w:rsidRDefault="00B52B91" w:rsidP="00B52B91">
      <w:pPr>
        <w:numPr>
          <w:ilvl w:val="1"/>
          <w:numId w:val="14"/>
        </w:numPr>
        <w:spacing w:before="100" w:beforeAutospacing="1" w:after="100" w:afterAutospacing="1" w:line="240" w:lineRule="auto"/>
        <w:rPr>
          <w:b/>
          <w:lang w:val="hu-HU"/>
        </w:rPr>
      </w:pPr>
      <w:proofErr w:type="spellStart"/>
      <w:r w:rsidRPr="00B52B91">
        <w:rPr>
          <w:b/>
          <w:lang w:val="hu-HU"/>
        </w:rPr>
        <w:t>I-es</w:t>
      </w:r>
      <w:proofErr w:type="spellEnd"/>
      <w:r w:rsidRPr="00B52B91">
        <w:rPr>
          <w:b/>
          <w:lang w:val="hu-HU"/>
        </w:rPr>
        <w:t xml:space="preserve"> (IA) típusú autoimmun DM (tová</w:t>
      </w:r>
      <w:r w:rsidR="00781712">
        <w:rPr>
          <w:b/>
          <w:lang w:val="hu-HU"/>
        </w:rPr>
        <w:t xml:space="preserve">bbiakban </w:t>
      </w:r>
      <w:proofErr w:type="spellStart"/>
      <w:r w:rsidR="00781712">
        <w:rPr>
          <w:b/>
          <w:lang w:val="hu-HU"/>
        </w:rPr>
        <w:t>I-es</w:t>
      </w:r>
      <w:proofErr w:type="spellEnd"/>
      <w:r w:rsidR="00781712">
        <w:rPr>
          <w:b/>
          <w:lang w:val="hu-HU"/>
        </w:rPr>
        <w:t xml:space="preserve"> típus!) jellemzői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>30 év alatti korosztályban jellemző (de nem kizárólag!)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>az összes diabetes mellitusos esetek 5-10%-</w:t>
      </w:r>
      <w:proofErr w:type="gramStart"/>
      <w:r w:rsidRPr="00B52B91">
        <w:rPr>
          <w:lang w:val="hu-HU"/>
        </w:rPr>
        <w:t>a</w:t>
      </w:r>
      <w:proofErr w:type="gramEnd"/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>hirtelen kezdet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52B91">
        <w:rPr>
          <w:lang w:val="hu-HU"/>
        </w:rPr>
        <w:t>ß-sejt</w:t>
      </w:r>
      <w:proofErr w:type="spellEnd"/>
      <w:r w:rsidRPr="00B52B91">
        <w:rPr>
          <w:lang w:val="hu-HU"/>
        </w:rPr>
        <w:t xml:space="preserve"> pusztulás, amely általában teljes inzulinhiányhoz vezet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>autoimmun mechanizmus jellemzi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>inzulinkezelés szükséges az élethez</w:t>
      </w:r>
    </w:p>
    <w:p w:rsidR="00B52B91" w:rsidRP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52B91">
        <w:rPr>
          <w:lang w:val="hu-HU"/>
        </w:rPr>
        <w:t xml:space="preserve">inzulinkezelés nélkül </w:t>
      </w:r>
      <w:proofErr w:type="spellStart"/>
      <w:r w:rsidRPr="00B52B91">
        <w:rPr>
          <w:lang w:val="hu-HU"/>
        </w:rPr>
        <w:t>ketoacidózis</w:t>
      </w:r>
      <w:proofErr w:type="spellEnd"/>
      <w:r w:rsidRPr="00B52B91">
        <w:rPr>
          <w:lang w:val="hu-HU"/>
        </w:rPr>
        <w:t>, kóma és halál áll be</w:t>
      </w:r>
    </w:p>
    <w:p w:rsidR="00B52B91" w:rsidRDefault="00B52B91" w:rsidP="00B52B91">
      <w:pPr>
        <w:numPr>
          <w:ilvl w:val="1"/>
          <w:numId w:val="19"/>
        </w:numPr>
        <w:spacing w:before="100" w:beforeAutospacing="1" w:after="100" w:afterAutospacing="1" w:line="240" w:lineRule="auto"/>
        <w:rPr>
          <w:lang w:val="hu-HU"/>
        </w:rPr>
      </w:pPr>
      <w:r>
        <w:rPr>
          <w:lang w:val="hu-HU"/>
        </w:rPr>
        <w:t xml:space="preserve">kialakulásában: </w:t>
      </w:r>
    </w:p>
    <w:p w:rsidR="00B52B91" w:rsidRDefault="00B52B91" w:rsidP="00B52B91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>
        <w:rPr>
          <w:lang w:val="hu-HU"/>
        </w:rPr>
        <w:t xml:space="preserve">genetikai tényezők: HLA-D </w:t>
      </w:r>
      <w:proofErr w:type="spellStart"/>
      <w:r>
        <w:rPr>
          <w:lang w:val="hu-HU"/>
        </w:rPr>
        <w:t>antigénkonfiguráció</w:t>
      </w:r>
      <w:proofErr w:type="spellEnd"/>
      <w:r>
        <w:rPr>
          <w:lang w:val="hu-HU"/>
        </w:rPr>
        <w:t xml:space="preserve"> bizonyos típusai hajlamosítanak</w:t>
      </w:r>
    </w:p>
    <w:p w:rsidR="00B52B91" w:rsidRDefault="00B52B91" w:rsidP="00B52B91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>
        <w:rPr>
          <w:lang w:val="hu-HU"/>
        </w:rPr>
        <w:t xml:space="preserve">vírusok szerepe: őszi-téli csúcs, </w:t>
      </w:r>
      <w:proofErr w:type="spellStart"/>
      <w:r>
        <w:rPr>
          <w:lang w:val="hu-HU"/>
        </w:rPr>
        <w:t>neoantigén</w:t>
      </w:r>
      <w:proofErr w:type="spellEnd"/>
      <w:r>
        <w:rPr>
          <w:lang w:val="hu-HU"/>
        </w:rPr>
        <w:t>, molekuláris mimikri, direkt károsítás</w:t>
      </w:r>
    </w:p>
    <w:p w:rsidR="00B52B91" w:rsidRDefault="00B52B91" w:rsidP="00B52B91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>
        <w:rPr>
          <w:lang w:val="hu-HU"/>
        </w:rPr>
        <w:t>autoantitestek</w:t>
      </w:r>
      <w:proofErr w:type="spellEnd"/>
      <w:r>
        <w:rPr>
          <w:lang w:val="hu-HU"/>
        </w:rPr>
        <w:t xml:space="preserve"> jelenléte: </w:t>
      </w:r>
      <w:proofErr w:type="spellStart"/>
      <w:r>
        <w:rPr>
          <w:lang w:val="hu-HU"/>
        </w:rPr>
        <w:t>szigetsejtellenes</w:t>
      </w:r>
      <w:proofErr w:type="spellEnd"/>
      <w:r>
        <w:rPr>
          <w:lang w:val="hu-HU"/>
        </w:rPr>
        <w:t xml:space="preserve">, inzulin-, </w:t>
      </w:r>
      <w:proofErr w:type="spellStart"/>
      <w:r>
        <w:rPr>
          <w:lang w:val="hu-HU"/>
        </w:rPr>
        <w:t>glutamát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dekarboxiláz-</w:t>
      </w:r>
      <w:proofErr w:type="spellEnd"/>
      <w:proofErr w:type="gramStart"/>
      <w:r>
        <w:rPr>
          <w:lang w:val="hu-HU"/>
        </w:rPr>
        <w:t>,</w:t>
      </w:r>
      <w:proofErr w:type="spellStart"/>
      <w:r>
        <w:rPr>
          <w:lang w:val="hu-HU"/>
        </w:rPr>
        <w:t>bovin</w:t>
      </w:r>
      <w:proofErr w:type="spellEnd"/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szárum</w:t>
      </w:r>
      <w:proofErr w:type="spellEnd"/>
      <w:r>
        <w:rPr>
          <w:lang w:val="hu-HU"/>
        </w:rPr>
        <w:t xml:space="preserve"> albumin antitest</w:t>
      </w:r>
    </w:p>
    <w:p w:rsidR="00B7357F" w:rsidRDefault="00B7357F" w:rsidP="00B7357F">
      <w:pPr>
        <w:pStyle w:val="Listaszerbekezds"/>
        <w:spacing w:before="100" w:beforeAutospacing="1" w:after="100" w:afterAutospacing="1" w:line="240" w:lineRule="auto"/>
        <w:ind w:left="1559"/>
        <w:rPr>
          <w:lang w:val="hu-HU"/>
        </w:rPr>
      </w:pPr>
    </w:p>
    <w:p w:rsidR="00B7357F" w:rsidRPr="00781712" w:rsidRDefault="00B7357F" w:rsidP="00B735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12">
        <w:rPr>
          <w:rFonts w:ascii="Times New Roman" w:hAnsi="Times New Roman" w:cs="Times New Roman"/>
          <w:b/>
          <w:sz w:val="24"/>
          <w:szCs w:val="24"/>
        </w:rPr>
        <w:t>A</w:t>
      </w:r>
      <w:r w:rsidR="00781712">
        <w:rPr>
          <w:rFonts w:ascii="Times New Roman" w:hAnsi="Times New Roman" w:cs="Times New Roman"/>
          <w:b/>
          <w:sz w:val="24"/>
          <w:szCs w:val="24"/>
        </w:rPr>
        <w:t xml:space="preserve"> II-</w:t>
      </w:r>
      <w:proofErr w:type="spellStart"/>
      <w:r w:rsidR="00781712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="0078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712">
        <w:rPr>
          <w:rFonts w:ascii="Times New Roman" w:hAnsi="Times New Roman" w:cs="Times New Roman"/>
          <w:b/>
          <w:sz w:val="24"/>
          <w:szCs w:val="24"/>
        </w:rPr>
        <w:t>típusú</w:t>
      </w:r>
      <w:proofErr w:type="spellEnd"/>
      <w:r w:rsidR="00781712">
        <w:rPr>
          <w:rFonts w:ascii="Times New Roman" w:hAnsi="Times New Roman" w:cs="Times New Roman"/>
          <w:b/>
          <w:sz w:val="24"/>
          <w:szCs w:val="24"/>
        </w:rPr>
        <w:t xml:space="preserve"> diabetes mellitus</w:t>
      </w:r>
    </w:p>
    <w:p w:rsidR="00B7357F" w:rsidRDefault="00B7357F" w:rsidP="00B7357F">
      <w:pPr>
        <w:numPr>
          <w:ilvl w:val="0"/>
          <w:numId w:val="21"/>
        </w:numPr>
        <w:spacing w:after="0" w:line="240" w:lineRule="auto"/>
        <w:jc w:val="both"/>
        <w:rPr>
          <w:b/>
        </w:rPr>
      </w:pPr>
      <w:proofErr w:type="spellStart"/>
      <w:proofErr w:type="gramStart"/>
      <w:r>
        <w:t>három</w:t>
      </w:r>
      <w:proofErr w:type="spellEnd"/>
      <w:proofErr w:type="gramEnd"/>
      <w:r>
        <w:t xml:space="preserve"> </w:t>
      </w:r>
      <w:proofErr w:type="spellStart"/>
      <w:r>
        <w:t>szakaszban</w:t>
      </w:r>
      <w:proofErr w:type="spellEnd"/>
      <w:r>
        <w:t xml:space="preserve"> </w:t>
      </w:r>
      <w:proofErr w:type="spellStart"/>
      <w:r>
        <w:t>zajlik</w:t>
      </w:r>
      <w:proofErr w:type="spellEnd"/>
      <w:r>
        <w:t xml:space="preserve"> le, </w:t>
      </w:r>
      <w:proofErr w:type="spellStart"/>
      <w:r>
        <w:t>melyek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rPr>
          <w:i/>
        </w:rPr>
        <w:t>örökletes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hajlam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megléte</w:t>
      </w:r>
      <w:proofErr w:type="spellEnd"/>
      <w:r>
        <w:t>.</w:t>
      </w:r>
    </w:p>
    <w:p w:rsidR="00B7357F" w:rsidRDefault="00B7357F" w:rsidP="00B7357F">
      <w:pPr>
        <w:spacing w:after="0" w:line="240" w:lineRule="auto"/>
        <w:ind w:left="992"/>
        <w:jc w:val="both"/>
        <w:rPr>
          <w:b/>
        </w:rPr>
      </w:pPr>
      <w:proofErr w:type="spellStart"/>
      <w:r>
        <w:t>Ebben</w:t>
      </w:r>
      <w:proofErr w:type="spellEnd"/>
      <w:r>
        <w:t xml:space="preserve"> a </w:t>
      </w:r>
      <w:proofErr w:type="spellStart"/>
      <w:r>
        <w:t>stádiumban</w:t>
      </w:r>
      <w:proofErr w:type="spellEnd"/>
      <w:r>
        <w:t xml:space="preserve"> </w:t>
      </w:r>
      <w:proofErr w:type="spellStart"/>
      <w:r>
        <w:t>tünetek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jelennek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, </w:t>
      </w:r>
      <w:proofErr w:type="spellStart"/>
      <w:r>
        <w:t>azonban</w:t>
      </w:r>
      <w:proofErr w:type="spellEnd"/>
      <w:r>
        <w:t xml:space="preserve">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a </w:t>
      </w:r>
      <w:proofErr w:type="spellStart"/>
      <w:r>
        <w:t>károsító</w:t>
      </w:r>
      <w:proofErr w:type="spellEnd"/>
      <w:r>
        <w:t xml:space="preserve"> </w:t>
      </w:r>
      <w:proofErr w:type="spellStart"/>
      <w:r>
        <w:t>környezeti</w:t>
      </w:r>
      <w:proofErr w:type="spellEnd"/>
      <w:r>
        <w:t xml:space="preserve"> </w:t>
      </w:r>
      <w:proofErr w:type="spellStart"/>
      <w:r>
        <w:t>hatások</w:t>
      </w:r>
      <w:proofErr w:type="spellEnd"/>
      <w:r>
        <w:t xml:space="preserve"> (</w:t>
      </w:r>
      <w:proofErr w:type="spellStart"/>
      <w:r>
        <w:t>életmód</w:t>
      </w:r>
      <w:proofErr w:type="spellEnd"/>
      <w:r>
        <w:t xml:space="preserve">, </w:t>
      </w:r>
      <w:proofErr w:type="spellStart"/>
      <w:r>
        <w:t>étrend</w:t>
      </w:r>
      <w:proofErr w:type="spellEnd"/>
      <w:r>
        <w:t xml:space="preserve">,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aktivitás</w:t>
      </w:r>
      <w:proofErr w:type="spellEnd"/>
      <w:r>
        <w:t xml:space="preserve">, </w:t>
      </w:r>
      <w:proofErr w:type="spellStart"/>
      <w:r>
        <w:t>elhízás</w:t>
      </w:r>
      <w:proofErr w:type="spellEnd"/>
      <w:r>
        <w:t xml:space="preserve">)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egészségi</w:t>
      </w:r>
      <w:proofErr w:type="spellEnd"/>
      <w:r>
        <w:t xml:space="preserve"> </w:t>
      </w:r>
      <w:proofErr w:type="spellStart"/>
      <w:r>
        <w:t>állapotot</w:t>
      </w:r>
      <w:proofErr w:type="spellEnd"/>
      <w:r>
        <w:t xml:space="preserve"> </w:t>
      </w:r>
      <w:proofErr w:type="spellStart"/>
      <w:r>
        <w:t>rontó</w:t>
      </w:r>
      <w:proofErr w:type="spellEnd"/>
      <w:r>
        <w:t xml:space="preserve"> </w:t>
      </w:r>
      <w:proofErr w:type="spellStart"/>
      <w:r>
        <w:t>behatás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kialakul</w:t>
      </w:r>
      <w:proofErr w:type="spellEnd"/>
      <w:r>
        <w:t xml:space="preserve"> a </w:t>
      </w:r>
      <w:proofErr w:type="spellStart"/>
      <w:r>
        <w:t>betegség</w:t>
      </w:r>
      <w:proofErr w:type="spellEnd"/>
      <w:r>
        <w:t>.</w:t>
      </w:r>
    </w:p>
    <w:p w:rsidR="00B7357F" w:rsidRDefault="00B7357F" w:rsidP="00B7357F">
      <w:pPr>
        <w:numPr>
          <w:ilvl w:val="0"/>
          <w:numId w:val="21"/>
        </w:numPr>
        <w:spacing w:after="0" w:line="240" w:lineRule="auto"/>
        <w:jc w:val="both"/>
        <w:rPr>
          <w:b/>
        </w:rPr>
      </w:pPr>
      <w:r>
        <w:t xml:space="preserve">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stádium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inzulinrezisztencia-hyperinsulinaemia</w:t>
      </w:r>
      <w:proofErr w:type="spellEnd"/>
      <w:r>
        <w:t xml:space="preserve"> </w:t>
      </w:r>
      <w:proofErr w:type="spellStart"/>
      <w:r>
        <w:t>szakasza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hypoinsulinaemia-hyperglycaemia</w:t>
      </w:r>
      <w:proofErr w:type="spellEnd"/>
      <w:r>
        <w:t xml:space="preserve"> </w:t>
      </w:r>
      <w:proofErr w:type="spellStart"/>
      <w:r>
        <w:t>szakasza</w:t>
      </w:r>
      <w:proofErr w:type="spellEnd"/>
      <w:r>
        <w:t>.</w:t>
      </w:r>
    </w:p>
    <w:p w:rsidR="00B7357F" w:rsidRDefault="00B7357F" w:rsidP="00B7357F">
      <w:pPr>
        <w:numPr>
          <w:ilvl w:val="0"/>
          <w:numId w:val="22"/>
        </w:numPr>
        <w:spacing w:after="0" w:line="240" w:lineRule="auto"/>
        <w:jc w:val="both"/>
        <w:rPr>
          <w:b/>
        </w:rPr>
      </w:pPr>
      <w:proofErr w:type="spellStart"/>
      <w:r>
        <w:t>Már</w:t>
      </w:r>
      <w:proofErr w:type="spellEnd"/>
      <w:r>
        <w:t xml:space="preserve"> IGT-ben </w:t>
      </w:r>
      <w:proofErr w:type="spellStart"/>
      <w:r>
        <w:t>csökken</w:t>
      </w:r>
      <w:proofErr w:type="spellEnd"/>
      <w:r>
        <w:t xml:space="preserve"> a </w:t>
      </w:r>
      <w:proofErr w:type="spellStart"/>
      <w:r>
        <w:t>percenként</w:t>
      </w:r>
      <w:proofErr w:type="spellEnd"/>
      <w:r>
        <w:t xml:space="preserve"> </w:t>
      </w:r>
      <w:proofErr w:type="spellStart"/>
      <w:r>
        <w:t>hasznosított</w:t>
      </w:r>
      <w:proofErr w:type="spellEnd"/>
      <w:r>
        <w:t xml:space="preserve"> </w:t>
      </w:r>
      <w:proofErr w:type="spellStart"/>
      <w:r>
        <w:t>glukóz</w:t>
      </w:r>
      <w:proofErr w:type="spellEnd"/>
      <w:r>
        <w:t xml:space="preserve"> </w:t>
      </w:r>
      <w:proofErr w:type="spellStart"/>
      <w:r>
        <w:t>mennyisége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magas</w:t>
      </w:r>
      <w:proofErr w:type="spellEnd"/>
      <w:r>
        <w:t xml:space="preserve"> </w:t>
      </w:r>
      <w:proofErr w:type="spellStart"/>
      <w:r>
        <w:t>inzulinszint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is, </w:t>
      </w:r>
      <w:proofErr w:type="spellStart"/>
      <w:r>
        <w:t>tehát</w:t>
      </w:r>
      <w:proofErr w:type="spellEnd"/>
      <w:r>
        <w:t xml:space="preserve"> a </w:t>
      </w:r>
      <w:proofErr w:type="spellStart"/>
      <w:r>
        <w:t>sejtek</w:t>
      </w:r>
      <w:proofErr w:type="spellEnd"/>
      <w:r>
        <w:t xml:space="preserve"> </w:t>
      </w:r>
      <w:proofErr w:type="spellStart"/>
      <w:r>
        <w:t>inzulinérzékenysége</w:t>
      </w:r>
      <w:proofErr w:type="spellEnd"/>
      <w:r>
        <w:t xml:space="preserve"> </w:t>
      </w:r>
      <w:proofErr w:type="spellStart"/>
      <w:r>
        <w:t>csökken</w:t>
      </w:r>
      <w:proofErr w:type="spellEnd"/>
      <w:r>
        <w:t>.</w:t>
      </w:r>
    </w:p>
    <w:p w:rsidR="00B7357F" w:rsidRDefault="00B7357F" w:rsidP="00B7357F">
      <w:pPr>
        <w:spacing w:after="0" w:line="240" w:lineRule="auto"/>
        <w:ind w:left="992"/>
        <w:jc w:val="both"/>
        <w:rPr>
          <w:b/>
        </w:rPr>
      </w:pPr>
      <w:proofErr w:type="spellStart"/>
      <w:r>
        <w:t>Ez</w:t>
      </w:r>
      <w:proofErr w:type="spellEnd"/>
      <w:r>
        <w:t xml:space="preserve"> </w:t>
      </w:r>
      <w:proofErr w:type="spellStart"/>
      <w:proofErr w:type="gramStart"/>
      <w:r>
        <w:t>azt</w:t>
      </w:r>
      <w:proofErr w:type="spellEnd"/>
      <w:proofErr w:type="gram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éhgyomri</w:t>
      </w:r>
      <w:proofErr w:type="spellEnd"/>
      <w:r>
        <w:t xml:space="preserve"> </w:t>
      </w:r>
      <w:proofErr w:type="spellStart"/>
      <w:r>
        <w:t>vércukorszint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magasabb</w:t>
      </w:r>
      <w:proofErr w:type="spellEnd"/>
      <w:r>
        <w:t xml:space="preserve"> </w:t>
      </w:r>
      <w:proofErr w:type="spellStart"/>
      <w:r>
        <w:t>inzulinelválasztással</w:t>
      </w:r>
      <w:proofErr w:type="spellEnd"/>
      <w:r>
        <w:t xml:space="preserve"> </w:t>
      </w:r>
      <w:proofErr w:type="spellStart"/>
      <w:r>
        <w:t>tartható</w:t>
      </w:r>
      <w:proofErr w:type="spellEnd"/>
      <w:r>
        <w:t xml:space="preserve"> </w:t>
      </w:r>
      <w:proofErr w:type="spellStart"/>
      <w:r>
        <w:t>fenn</w:t>
      </w:r>
      <w:proofErr w:type="spellEnd"/>
      <w:r>
        <w:t>.</w:t>
      </w:r>
    </w:p>
    <w:p w:rsidR="00B7357F" w:rsidRDefault="00781712" w:rsidP="00B7357F">
      <w:pPr>
        <w:numPr>
          <w:ilvl w:val="1"/>
          <w:numId w:val="14"/>
        </w:numPr>
        <w:spacing w:before="100" w:beforeAutospacing="1" w:after="100" w:afterAutospacing="1" w:line="240" w:lineRule="auto"/>
        <w:rPr>
          <w:b/>
          <w:lang w:val="hu-HU"/>
        </w:rPr>
      </w:pPr>
      <w:r>
        <w:rPr>
          <w:b/>
          <w:lang w:val="hu-HU"/>
        </w:rPr>
        <w:t>Kialakulásában</w:t>
      </w:r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7357F">
        <w:rPr>
          <w:lang w:val="hu-HU"/>
        </w:rPr>
        <w:t>inzulinreceptor</w:t>
      </w:r>
      <w:proofErr w:type="spellEnd"/>
      <w:r w:rsidRPr="00B7357F">
        <w:rPr>
          <w:lang w:val="hu-HU"/>
        </w:rPr>
        <w:t xml:space="preserve"> hiba</w:t>
      </w:r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7357F">
        <w:rPr>
          <w:lang w:val="hu-HU"/>
        </w:rPr>
        <w:t>inzulin jelátviteli hiba</w:t>
      </w:r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7357F">
        <w:rPr>
          <w:lang w:val="hu-HU"/>
        </w:rPr>
        <w:t xml:space="preserve">elhízottság: </w:t>
      </w:r>
      <w:proofErr w:type="spellStart"/>
      <w:r w:rsidRPr="00B7357F">
        <w:rPr>
          <w:lang w:val="hu-HU"/>
        </w:rPr>
        <w:t>leptin</w:t>
      </w:r>
      <w:proofErr w:type="spellEnd"/>
      <w:r w:rsidRPr="00B7357F">
        <w:rPr>
          <w:lang w:val="hu-HU"/>
        </w:rPr>
        <w:t>=</w:t>
      </w:r>
      <w:proofErr w:type="spellStart"/>
      <w:r w:rsidRPr="00B7357F">
        <w:rPr>
          <w:lang w:val="hu-HU"/>
        </w:rPr>
        <w:t>inzulinantagonsita</w:t>
      </w:r>
      <w:proofErr w:type="spellEnd"/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7357F">
        <w:rPr>
          <w:lang w:val="hu-HU"/>
        </w:rPr>
        <w:t>amylin</w:t>
      </w:r>
      <w:proofErr w:type="spellEnd"/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7357F">
        <w:rPr>
          <w:lang w:val="hu-HU"/>
        </w:rPr>
        <w:t>korai tápanyagellátás</w:t>
      </w:r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7357F">
        <w:rPr>
          <w:lang w:val="hu-HU"/>
        </w:rPr>
        <w:t>„takarékos gén”</w:t>
      </w:r>
    </w:p>
    <w:p w:rsidR="00B7357F" w:rsidRP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7357F">
        <w:rPr>
          <w:lang w:val="hu-HU"/>
        </w:rPr>
        <w:lastRenderedPageBreak/>
        <w:t>GLUT2 hiba</w:t>
      </w:r>
    </w:p>
    <w:p w:rsidR="00B7357F" w:rsidRDefault="00B7357F" w:rsidP="00B7357F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7357F">
        <w:rPr>
          <w:lang w:val="hu-HU"/>
        </w:rPr>
        <w:t>glukokináz</w:t>
      </w:r>
      <w:proofErr w:type="spellEnd"/>
    </w:p>
    <w:p w:rsidR="00B7357F" w:rsidRDefault="00B7357F" w:rsidP="00B7357F">
      <w:pPr>
        <w:pStyle w:val="Listaszerbekezds"/>
        <w:spacing w:before="100" w:beforeAutospacing="1" w:after="100" w:afterAutospacing="1" w:line="240" w:lineRule="auto"/>
        <w:ind w:left="1559"/>
        <w:rPr>
          <w:lang w:val="hu-HU"/>
        </w:rPr>
      </w:pPr>
    </w:p>
    <w:p w:rsidR="00B7357F" w:rsidRPr="00781712" w:rsidRDefault="00B7357F" w:rsidP="00B7357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12">
        <w:rPr>
          <w:rFonts w:ascii="Times New Roman" w:hAnsi="Times New Roman" w:cs="Times New Roman"/>
          <w:b/>
          <w:sz w:val="24"/>
          <w:szCs w:val="24"/>
        </w:rPr>
        <w:t xml:space="preserve">MODY- Maturity Onset Diabetes </w:t>
      </w: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int</w:t>
      </w:r>
      <w:proofErr w:type="spellEnd"/>
      <w:r w:rsidRPr="00781712">
        <w:rPr>
          <w:rFonts w:ascii="Times New Roman" w:hAnsi="Times New Roman" w:cs="Times New Roman"/>
          <w:b/>
          <w:sz w:val="24"/>
          <w:szCs w:val="24"/>
        </w:rPr>
        <w:t xml:space="preserve"> he Youth</w:t>
      </w:r>
    </w:p>
    <w:p w:rsidR="00B7357F" w:rsidRDefault="00B7357F" w:rsidP="00B7357F">
      <w:pPr>
        <w:numPr>
          <w:ilvl w:val="0"/>
          <w:numId w:val="21"/>
        </w:numPr>
        <w:spacing w:after="0" w:line="240" w:lineRule="auto"/>
        <w:jc w:val="both"/>
      </w:pPr>
      <w:r w:rsidRPr="00B7357F">
        <w:t>"</w:t>
      </w:r>
      <w:proofErr w:type="spellStart"/>
      <w:r w:rsidRPr="00B7357F">
        <w:t>felnőtt</w:t>
      </w:r>
      <w:proofErr w:type="spellEnd"/>
      <w:r w:rsidRPr="00B7357F">
        <w:t xml:space="preserve"> </w:t>
      </w:r>
      <w:proofErr w:type="spellStart"/>
      <w:r w:rsidRPr="00B7357F">
        <w:t>diabétesz</w:t>
      </w:r>
      <w:proofErr w:type="spellEnd"/>
      <w:r>
        <w:t xml:space="preserve">,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fiataloknál</w:t>
      </w:r>
      <w:proofErr w:type="spellEnd"/>
      <w:r>
        <w:t xml:space="preserve"> </w:t>
      </w:r>
      <w:proofErr w:type="spellStart"/>
      <w:r>
        <w:t>jelentkezik</w:t>
      </w:r>
      <w:proofErr w:type="spellEnd"/>
      <w:r>
        <w:t>"</w:t>
      </w:r>
    </w:p>
    <w:p w:rsidR="00EF5E74" w:rsidRDefault="00B7357F" w:rsidP="00B7357F">
      <w:pPr>
        <w:numPr>
          <w:ilvl w:val="0"/>
          <w:numId w:val="21"/>
        </w:numPr>
        <w:spacing w:after="0" w:line="240" w:lineRule="auto"/>
        <w:jc w:val="both"/>
      </w:pPr>
      <w:proofErr w:type="spellStart"/>
      <w:r w:rsidRPr="00B7357F">
        <w:t>Ezidáig</w:t>
      </w:r>
      <w:proofErr w:type="spellEnd"/>
      <w:r w:rsidRPr="00B7357F">
        <w:t xml:space="preserve"> hat </w:t>
      </w:r>
      <w:proofErr w:type="spellStart"/>
      <w:r w:rsidRPr="00B7357F">
        <w:t>formáját</w:t>
      </w:r>
      <w:proofErr w:type="spellEnd"/>
      <w:r w:rsidRPr="00B7357F">
        <w:t xml:space="preserve"> </w:t>
      </w:r>
      <w:proofErr w:type="spellStart"/>
      <w:r w:rsidRPr="00B7357F">
        <w:t>írták</w:t>
      </w:r>
      <w:proofErr w:type="spellEnd"/>
      <w:r w:rsidRPr="00B7357F">
        <w:t xml:space="preserve"> le, a hat forma hat </w:t>
      </w:r>
      <w:proofErr w:type="spellStart"/>
      <w:r w:rsidRPr="00B7357F">
        <w:t>különböző</w:t>
      </w:r>
      <w:proofErr w:type="spellEnd"/>
      <w:r w:rsidRPr="00B7357F">
        <w:t xml:space="preserve"> </w:t>
      </w:r>
      <w:proofErr w:type="spellStart"/>
      <w:r w:rsidRPr="00B7357F">
        <w:t>gén</w:t>
      </w:r>
      <w:proofErr w:type="spellEnd"/>
      <w:r w:rsidRPr="00B7357F">
        <w:t xml:space="preserve"> </w:t>
      </w:r>
      <w:proofErr w:type="spellStart"/>
      <w:r w:rsidRPr="00B7357F">
        <w:t>mutációja</w:t>
      </w:r>
      <w:proofErr w:type="spellEnd"/>
      <w:r w:rsidRPr="00B7357F">
        <w:t xml:space="preserve"> </w:t>
      </w:r>
      <w:proofErr w:type="spellStart"/>
      <w:r w:rsidRPr="00B7357F">
        <w:t>miatt</w:t>
      </w:r>
      <w:proofErr w:type="spellEnd"/>
      <w:r w:rsidRPr="00B7357F">
        <w:t xml:space="preserve"> </w:t>
      </w:r>
      <w:proofErr w:type="spellStart"/>
      <w:r w:rsidRPr="00B7357F">
        <w:t>alakul</w:t>
      </w:r>
      <w:proofErr w:type="spellEnd"/>
      <w:r w:rsidRPr="00B7357F">
        <w:t xml:space="preserve"> </w:t>
      </w:r>
      <w:proofErr w:type="spellStart"/>
      <w:r w:rsidRPr="00B7357F">
        <w:t>ki</w:t>
      </w:r>
      <w:proofErr w:type="spellEnd"/>
      <w:r w:rsidRPr="00B7357F">
        <w:t xml:space="preserve">. </w:t>
      </w:r>
      <w:proofErr w:type="spellStart"/>
      <w:r w:rsidRPr="00B7357F">
        <w:t>Öt</w:t>
      </w:r>
      <w:proofErr w:type="spellEnd"/>
      <w:r w:rsidRPr="00B7357F">
        <w:t xml:space="preserve"> </w:t>
      </w:r>
      <w:proofErr w:type="spellStart"/>
      <w:r w:rsidRPr="00B7357F">
        <w:t>esetben</w:t>
      </w:r>
      <w:proofErr w:type="spellEnd"/>
      <w:r w:rsidRPr="00B7357F">
        <w:t xml:space="preserve"> </w:t>
      </w:r>
      <w:proofErr w:type="spellStart"/>
      <w:r w:rsidRPr="00B7357F">
        <w:t>transzkripcios</w:t>
      </w:r>
      <w:proofErr w:type="spellEnd"/>
      <w:r w:rsidRPr="00B7357F">
        <w:t xml:space="preserve"> </w:t>
      </w:r>
      <w:proofErr w:type="spellStart"/>
      <w:r w:rsidRPr="00B7357F">
        <w:t>faktorokat</w:t>
      </w:r>
      <w:proofErr w:type="spellEnd"/>
      <w:r w:rsidRPr="00B7357F">
        <w:t xml:space="preserve"> </w:t>
      </w:r>
      <w:proofErr w:type="spellStart"/>
      <w:r w:rsidRPr="00B7357F">
        <w:t>k</w:t>
      </w:r>
      <w:r w:rsidR="00EF5E74">
        <w:t>ódoló</w:t>
      </w:r>
      <w:proofErr w:type="spellEnd"/>
      <w:r w:rsidR="00EF5E74">
        <w:t xml:space="preserve"> </w:t>
      </w:r>
      <w:proofErr w:type="spellStart"/>
      <w:r w:rsidR="00EF5E74">
        <w:t>gének</w:t>
      </w:r>
      <w:proofErr w:type="spellEnd"/>
      <w:r w:rsidR="00EF5E74">
        <w:t xml:space="preserve"> </w:t>
      </w:r>
      <w:proofErr w:type="spellStart"/>
      <w:r w:rsidRPr="00B7357F">
        <w:t>károsodnak</w:t>
      </w:r>
      <w:proofErr w:type="spellEnd"/>
      <w:r w:rsidRPr="00B7357F">
        <w:t xml:space="preserve">. </w:t>
      </w:r>
    </w:p>
    <w:p w:rsidR="00B7357F" w:rsidRDefault="00B7357F" w:rsidP="00B7357F">
      <w:pPr>
        <w:numPr>
          <w:ilvl w:val="0"/>
          <w:numId w:val="21"/>
        </w:numPr>
        <w:spacing w:after="0" w:line="240" w:lineRule="auto"/>
        <w:jc w:val="both"/>
      </w:pPr>
      <w:r w:rsidRPr="00B7357F">
        <w:t xml:space="preserve">A </w:t>
      </w:r>
      <w:proofErr w:type="spellStart"/>
      <w:r w:rsidRPr="00B7357F">
        <w:t>hatodik</w:t>
      </w:r>
      <w:proofErr w:type="spellEnd"/>
      <w:r w:rsidRPr="00B7357F">
        <w:t xml:space="preserve"> forma</w:t>
      </w:r>
      <w:r w:rsidR="00EF5E74">
        <w:t xml:space="preserve"> </w:t>
      </w:r>
      <w:proofErr w:type="spellStart"/>
      <w:r w:rsidRPr="00B7357F">
        <w:t>esetében</w:t>
      </w:r>
      <w:proofErr w:type="spellEnd"/>
      <w:r w:rsidRPr="00B7357F">
        <w:t xml:space="preserve"> a </w:t>
      </w:r>
      <w:proofErr w:type="spellStart"/>
      <w:r w:rsidRPr="00B7357F">
        <w:t>glukokinázt</w:t>
      </w:r>
      <w:proofErr w:type="spellEnd"/>
      <w:r w:rsidRPr="00B7357F">
        <w:t xml:space="preserve"> </w:t>
      </w:r>
      <w:proofErr w:type="spellStart"/>
      <w:r w:rsidRPr="00B7357F">
        <w:t>kódoló</w:t>
      </w:r>
      <w:proofErr w:type="spellEnd"/>
      <w:r w:rsidRPr="00B7357F">
        <w:t xml:space="preserve"> </w:t>
      </w:r>
      <w:proofErr w:type="spellStart"/>
      <w:r w:rsidRPr="00B7357F">
        <w:t>gén</w:t>
      </w:r>
      <w:proofErr w:type="spellEnd"/>
      <w:r w:rsidRPr="00B7357F">
        <w:t xml:space="preserve"> </w:t>
      </w:r>
      <w:proofErr w:type="spellStart"/>
      <w:r w:rsidRPr="00B7357F">
        <w:t>károsodik</w:t>
      </w:r>
      <w:proofErr w:type="spellEnd"/>
      <w:r w:rsidRPr="00B7357F">
        <w:t xml:space="preserve">. A </w:t>
      </w:r>
      <w:proofErr w:type="spellStart"/>
      <w:r w:rsidRPr="00B7357F">
        <w:t>glukokináz</w:t>
      </w:r>
      <w:proofErr w:type="spellEnd"/>
      <w:r w:rsidRPr="00B7357F">
        <w:t xml:space="preserve"> </w:t>
      </w:r>
      <w:proofErr w:type="spellStart"/>
      <w:r w:rsidRPr="00B7357F">
        <w:t>egy</w:t>
      </w:r>
      <w:proofErr w:type="spellEnd"/>
      <w:r w:rsidRPr="00B7357F">
        <w:t xml:space="preserve"> </w:t>
      </w:r>
      <w:proofErr w:type="spellStart"/>
      <w:r w:rsidRPr="00B7357F">
        <w:t>sejten</w:t>
      </w:r>
      <w:proofErr w:type="spellEnd"/>
      <w:r w:rsidRPr="00B7357F">
        <w:t xml:space="preserve"> </w:t>
      </w:r>
      <w:proofErr w:type="spellStart"/>
      <w:r w:rsidRPr="00B7357F">
        <w:t>belüli</w:t>
      </w:r>
      <w:proofErr w:type="spellEnd"/>
      <w:r w:rsidRPr="00B7357F">
        <w:t xml:space="preserve"> </w:t>
      </w:r>
      <w:proofErr w:type="spellStart"/>
      <w:r w:rsidRPr="00B7357F">
        <w:t>glukózszenzor</w:t>
      </w:r>
      <w:proofErr w:type="spellEnd"/>
      <w:r w:rsidRPr="00B7357F">
        <w:t xml:space="preserve"> a </w:t>
      </w:r>
      <w:proofErr w:type="spellStart"/>
      <w:r w:rsidRPr="00B7357F">
        <w:t>hasnyálmirigyben</w:t>
      </w:r>
      <w:proofErr w:type="spellEnd"/>
      <w:r w:rsidRPr="00B7357F">
        <w:t xml:space="preserve">, </w:t>
      </w:r>
      <w:proofErr w:type="spellStart"/>
      <w:r w:rsidRPr="00B7357F">
        <w:t>továbbá</w:t>
      </w:r>
      <w:proofErr w:type="spellEnd"/>
      <w:r w:rsidRPr="00B7357F">
        <w:t xml:space="preserve"> </w:t>
      </w:r>
      <w:proofErr w:type="spellStart"/>
      <w:r w:rsidRPr="00B7357F">
        <w:t>egy</w:t>
      </w:r>
      <w:proofErr w:type="spellEnd"/>
      <w:r w:rsidRPr="00B7357F">
        <w:t xml:space="preserve"> </w:t>
      </w:r>
      <w:proofErr w:type="spellStart"/>
      <w:r w:rsidRPr="00B7357F">
        <w:t>fontos</w:t>
      </w:r>
      <w:proofErr w:type="spellEnd"/>
      <w:r w:rsidRPr="00B7357F">
        <w:t xml:space="preserve"> </w:t>
      </w:r>
      <w:proofErr w:type="spellStart"/>
      <w:r w:rsidRPr="00B7357F">
        <w:t>enzim</w:t>
      </w:r>
      <w:proofErr w:type="spellEnd"/>
      <w:r w:rsidRPr="00B7357F">
        <w:t xml:space="preserve"> a </w:t>
      </w:r>
      <w:proofErr w:type="spellStart"/>
      <w:r w:rsidRPr="00B7357F">
        <w:t>glukogénszintézisben</w:t>
      </w:r>
      <w:proofErr w:type="spellEnd"/>
      <w:r w:rsidRPr="00B7357F">
        <w:t>.</w:t>
      </w:r>
    </w:p>
    <w:p w:rsidR="00EF5E74" w:rsidRDefault="00EF5E74" w:rsidP="00EF5E74">
      <w:pPr>
        <w:spacing w:after="0" w:line="240" w:lineRule="auto"/>
        <w:ind w:left="992"/>
        <w:jc w:val="both"/>
      </w:pPr>
    </w:p>
    <w:p w:rsidR="00EF5E74" w:rsidRPr="00781712" w:rsidRDefault="00EF5E74" w:rsidP="00EF5E7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12">
        <w:rPr>
          <w:rFonts w:ascii="Times New Roman" w:hAnsi="Times New Roman" w:cs="Times New Roman"/>
          <w:b/>
          <w:sz w:val="24"/>
          <w:szCs w:val="24"/>
        </w:rPr>
        <w:t>LADA- Latent Autoimmune Diabetes in Adults</w:t>
      </w:r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r>
        <w:t xml:space="preserve">30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</w:t>
      </w:r>
      <w:proofErr w:type="spellStart"/>
      <w:r>
        <w:t>felett</w:t>
      </w:r>
      <w:proofErr w:type="spellEnd"/>
      <w:r>
        <w:t xml:space="preserve"> </w:t>
      </w:r>
      <w:proofErr w:type="spellStart"/>
      <w:r>
        <w:t>kezdődő</w:t>
      </w:r>
      <w:proofErr w:type="spellEnd"/>
      <w:r>
        <w:t xml:space="preserve"> 1-es </w:t>
      </w:r>
      <w:proofErr w:type="spellStart"/>
      <w:r>
        <w:t>típusú</w:t>
      </w:r>
      <w:proofErr w:type="spellEnd"/>
      <w:r>
        <w:t xml:space="preserve"> DM</w:t>
      </w:r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autoantitestek</w:t>
      </w:r>
      <w:proofErr w:type="spellEnd"/>
      <w:r>
        <w:t xml:space="preserve"> </w:t>
      </w:r>
      <w:proofErr w:type="spellStart"/>
      <w:r>
        <w:t>kimutathatók</w:t>
      </w:r>
      <w:proofErr w:type="spellEnd"/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keveset</w:t>
      </w:r>
      <w:proofErr w:type="spellEnd"/>
      <w:r>
        <w:t xml:space="preserve"> </w:t>
      </w:r>
      <w:proofErr w:type="spellStart"/>
      <w:r>
        <w:t>tudunk</w:t>
      </w:r>
      <w:proofErr w:type="spellEnd"/>
      <w:r>
        <w:t xml:space="preserve"> a </w:t>
      </w:r>
      <w:proofErr w:type="spellStart"/>
      <w:r>
        <w:t>pathomechanizmusáról</w:t>
      </w:r>
      <w:proofErr w:type="spellEnd"/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kezdetben</w:t>
      </w:r>
      <w:proofErr w:type="spellEnd"/>
      <w:r>
        <w:t xml:space="preserve"> </w:t>
      </w:r>
      <w:proofErr w:type="spellStart"/>
      <w:r>
        <w:t>orális</w:t>
      </w:r>
      <w:proofErr w:type="spellEnd"/>
      <w:r>
        <w:t xml:space="preserve"> </w:t>
      </w:r>
      <w:proofErr w:type="spellStart"/>
      <w:r>
        <w:t>antidiabetikum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(</w:t>
      </w:r>
      <w:proofErr w:type="spellStart"/>
      <w:r>
        <w:t>nevezik</w:t>
      </w:r>
      <w:proofErr w:type="spellEnd"/>
      <w:r>
        <w:t xml:space="preserve"> 1,5-es </w:t>
      </w:r>
      <w:proofErr w:type="spellStart"/>
      <w:r>
        <w:t>típusú</w:t>
      </w:r>
      <w:proofErr w:type="spellEnd"/>
      <w:r>
        <w:t xml:space="preserve"> DM-</w:t>
      </w:r>
      <w:proofErr w:type="spellStart"/>
      <w:r>
        <w:t>nak</w:t>
      </w:r>
      <w:proofErr w:type="spellEnd"/>
      <w:r>
        <w:t xml:space="preserve"> is)</w:t>
      </w:r>
    </w:p>
    <w:p w:rsidR="00EF5E74" w:rsidRPr="00781712" w:rsidRDefault="00EF5E74" w:rsidP="00EF5E7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712">
        <w:rPr>
          <w:rFonts w:ascii="Times New Roman" w:hAnsi="Times New Roman" w:cs="Times New Roman"/>
          <w:b/>
          <w:sz w:val="24"/>
          <w:szCs w:val="24"/>
        </w:rPr>
        <w:t>Szövődmények</w:t>
      </w:r>
      <w:proofErr w:type="spellEnd"/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acut</w:t>
      </w:r>
      <w:proofErr w:type="spellEnd"/>
      <w:r>
        <w:t xml:space="preserve">, </w:t>
      </w:r>
      <w:proofErr w:type="spellStart"/>
      <w:r>
        <w:t>heveny</w:t>
      </w:r>
      <w:proofErr w:type="spellEnd"/>
      <w:r>
        <w:t>: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ketoacidotikus</w:t>
      </w:r>
      <w:proofErr w:type="spellEnd"/>
      <w:r w:rsidRPr="00EF5E74">
        <w:rPr>
          <w:lang w:val="hu-HU"/>
        </w:rPr>
        <w:t xml:space="preserve"> </w:t>
      </w:r>
      <w:proofErr w:type="spellStart"/>
      <w:r w:rsidRPr="00EF5E74">
        <w:rPr>
          <w:lang w:val="hu-HU"/>
        </w:rPr>
        <w:t>coma</w:t>
      </w:r>
      <w:proofErr w:type="spellEnd"/>
      <w:r w:rsidRPr="00EF5E74">
        <w:rPr>
          <w:lang w:val="hu-HU"/>
        </w:rPr>
        <w:t>,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hyperosmoláris</w:t>
      </w:r>
      <w:proofErr w:type="spellEnd"/>
      <w:r w:rsidRPr="00EF5E74">
        <w:rPr>
          <w:lang w:val="hu-HU"/>
        </w:rPr>
        <w:t xml:space="preserve"> </w:t>
      </w:r>
      <w:proofErr w:type="spellStart"/>
      <w:r w:rsidRPr="00EF5E74">
        <w:rPr>
          <w:lang w:val="hu-HU"/>
        </w:rPr>
        <w:t>hyperglikémiás</w:t>
      </w:r>
      <w:proofErr w:type="spellEnd"/>
      <w:r w:rsidRPr="00EF5E74">
        <w:rPr>
          <w:lang w:val="hu-HU"/>
        </w:rPr>
        <w:t xml:space="preserve"> nem </w:t>
      </w:r>
      <w:proofErr w:type="spellStart"/>
      <w:r w:rsidRPr="00EF5E74">
        <w:rPr>
          <w:lang w:val="hu-HU"/>
        </w:rPr>
        <w:t>ketoacidotikus</w:t>
      </w:r>
      <w:proofErr w:type="spellEnd"/>
      <w:r w:rsidRPr="00EF5E74">
        <w:rPr>
          <w:lang w:val="hu-HU"/>
        </w:rPr>
        <w:t xml:space="preserve"> </w:t>
      </w:r>
      <w:proofErr w:type="spellStart"/>
      <w:r w:rsidRPr="00EF5E74">
        <w:rPr>
          <w:lang w:val="hu-HU"/>
        </w:rPr>
        <w:t>sy</w:t>
      </w:r>
      <w:proofErr w:type="spellEnd"/>
      <w:r w:rsidRPr="00EF5E74">
        <w:rPr>
          <w:lang w:val="hu-HU"/>
        </w:rPr>
        <w:t>,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EF5E74">
        <w:rPr>
          <w:lang w:val="hu-HU"/>
        </w:rPr>
        <w:t>tejsav acidózis,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hypoglykémia</w:t>
      </w:r>
      <w:proofErr w:type="spellEnd"/>
    </w:p>
    <w:p w:rsidR="00EF5E74" w:rsidRDefault="00EF5E74" w:rsidP="00EF5E74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krónikus</w:t>
      </w:r>
      <w:proofErr w:type="spellEnd"/>
      <w:r>
        <w:t xml:space="preserve">, </w:t>
      </w:r>
      <w:proofErr w:type="spellStart"/>
      <w:r>
        <w:t>idült</w:t>
      </w:r>
      <w:proofErr w:type="spellEnd"/>
      <w:r w:rsidR="00781712">
        <w:t>: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micrangiopathia</w:t>
      </w:r>
      <w:proofErr w:type="spellEnd"/>
      <w:r w:rsidRPr="00EF5E74">
        <w:rPr>
          <w:lang w:val="hu-HU"/>
        </w:rPr>
        <w:t xml:space="preserve"> (</w:t>
      </w:r>
      <w:proofErr w:type="spellStart"/>
      <w:r w:rsidRPr="00EF5E74">
        <w:rPr>
          <w:lang w:val="hu-HU"/>
        </w:rPr>
        <w:t>retino-</w:t>
      </w:r>
      <w:proofErr w:type="spellEnd"/>
      <w:r w:rsidRPr="00EF5E74">
        <w:rPr>
          <w:lang w:val="hu-HU"/>
        </w:rPr>
        <w:t xml:space="preserve">, </w:t>
      </w:r>
      <w:proofErr w:type="spellStart"/>
      <w:r w:rsidRPr="00EF5E74">
        <w:rPr>
          <w:lang w:val="hu-HU"/>
        </w:rPr>
        <w:t>nephro-</w:t>
      </w:r>
      <w:proofErr w:type="spellEnd"/>
      <w:r w:rsidRPr="00EF5E74">
        <w:rPr>
          <w:lang w:val="hu-HU"/>
        </w:rPr>
        <w:t xml:space="preserve">, </w:t>
      </w:r>
      <w:proofErr w:type="spellStart"/>
      <w:r w:rsidRPr="00EF5E74">
        <w:rPr>
          <w:lang w:val="hu-HU"/>
        </w:rPr>
        <w:t>neuropathia</w:t>
      </w:r>
      <w:proofErr w:type="spellEnd"/>
      <w:r w:rsidRPr="00EF5E74">
        <w:rPr>
          <w:lang w:val="hu-HU"/>
        </w:rPr>
        <w:t>)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macroangiopathia</w:t>
      </w:r>
      <w:proofErr w:type="spellEnd"/>
      <w:r w:rsidRPr="00EF5E74">
        <w:rPr>
          <w:lang w:val="hu-HU"/>
        </w:rPr>
        <w:t xml:space="preserve"> (</w:t>
      </w:r>
      <w:proofErr w:type="spellStart"/>
      <w:r w:rsidRPr="00EF5E74">
        <w:rPr>
          <w:lang w:val="hu-HU"/>
        </w:rPr>
        <w:t>atherosclerosis</w:t>
      </w:r>
      <w:proofErr w:type="spellEnd"/>
      <w:r w:rsidRPr="00EF5E74">
        <w:rPr>
          <w:lang w:val="hu-HU"/>
        </w:rPr>
        <w:t xml:space="preserve">, </w:t>
      </w:r>
      <w:proofErr w:type="spellStart"/>
      <w:r w:rsidRPr="00EF5E74">
        <w:rPr>
          <w:lang w:val="hu-HU"/>
        </w:rPr>
        <w:t>hypertonia</w:t>
      </w:r>
      <w:proofErr w:type="spellEnd"/>
      <w:r w:rsidRPr="00EF5E74">
        <w:rPr>
          <w:lang w:val="hu-HU"/>
        </w:rPr>
        <w:t>)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EF5E74">
        <w:rPr>
          <w:lang w:val="hu-HU"/>
        </w:rPr>
        <w:t>neuropathia</w:t>
      </w:r>
      <w:proofErr w:type="spellEnd"/>
      <w:r w:rsidRPr="00EF5E74">
        <w:rPr>
          <w:lang w:val="hu-HU"/>
        </w:rPr>
        <w:t xml:space="preserve"> (</w:t>
      </w:r>
      <w:proofErr w:type="spellStart"/>
      <w:r w:rsidRPr="00EF5E74">
        <w:rPr>
          <w:lang w:val="hu-HU"/>
        </w:rPr>
        <w:t>sensoros-motoros</w:t>
      </w:r>
      <w:proofErr w:type="spellEnd"/>
      <w:r w:rsidRPr="00EF5E74">
        <w:rPr>
          <w:lang w:val="hu-HU"/>
        </w:rPr>
        <w:t>, autonóm)</w:t>
      </w:r>
    </w:p>
    <w:p w:rsidR="00EF5E74" w:rsidRPr="00EF5E74" w:rsidRDefault="00EF5E74" w:rsidP="00EF5E74">
      <w:pPr>
        <w:pStyle w:val="Listaszerbekezds"/>
        <w:numPr>
          <w:ilvl w:val="2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EF5E74">
        <w:rPr>
          <w:lang w:val="hu-HU"/>
        </w:rPr>
        <w:t>megnövekedett fertőzéshajlam</w:t>
      </w:r>
    </w:p>
    <w:sectPr w:rsidR="00EF5E74" w:rsidRPr="00EF5E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z Handicraft C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C4C"/>
    <w:multiLevelType w:val="hybridMultilevel"/>
    <w:tmpl w:val="B754853A"/>
    <w:lvl w:ilvl="0" w:tplc="E4320006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1" w:tplc="4184F0D2">
      <w:start w:val="1"/>
      <w:numFmt w:val="bullet"/>
      <w:lvlText w:val=""/>
      <w:lvlJc w:val="left"/>
      <w:pPr>
        <w:tabs>
          <w:tab w:val="num" w:pos="1506"/>
        </w:tabs>
        <w:ind w:left="1506" w:hanging="426"/>
      </w:pPr>
      <w:rPr>
        <w:rFonts w:ascii="Wingdings" w:hAnsi="Wingdings" w:hint="default"/>
        <w:sz w:val="24"/>
        <w:szCs w:val="24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A10DE"/>
    <w:multiLevelType w:val="multilevel"/>
    <w:tmpl w:val="A23EB72C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EC76B07"/>
    <w:multiLevelType w:val="hybridMultilevel"/>
    <w:tmpl w:val="5540CA18"/>
    <w:lvl w:ilvl="0" w:tplc="040E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">
    <w:nsid w:val="2D22341F"/>
    <w:multiLevelType w:val="hybridMultilevel"/>
    <w:tmpl w:val="6F58E4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3F4C"/>
    <w:multiLevelType w:val="hybridMultilevel"/>
    <w:tmpl w:val="7E18FFF2"/>
    <w:lvl w:ilvl="0" w:tplc="040E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6">
    <w:nsid w:val="3FB24B59"/>
    <w:multiLevelType w:val="hybridMultilevel"/>
    <w:tmpl w:val="C45C9F80"/>
    <w:lvl w:ilvl="0" w:tplc="E4320006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55BBC"/>
    <w:multiLevelType w:val="multilevel"/>
    <w:tmpl w:val="05F4D274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641D7010"/>
    <w:multiLevelType w:val="multilevel"/>
    <w:tmpl w:val="A23EB72C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75B26D1E"/>
    <w:multiLevelType w:val="multilevel"/>
    <w:tmpl w:val="A23EB72C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E5A0DE4"/>
    <w:multiLevelType w:val="multilevel"/>
    <w:tmpl w:val="28F23B8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3"/>
  </w:num>
  <w:num w:numId="18">
    <w:abstractNumId w:val="5"/>
  </w:num>
  <w:num w:numId="19">
    <w:abstractNumId w:val="7"/>
  </w:num>
  <w:num w:numId="20">
    <w:abstractNumId w:val="8"/>
  </w:num>
  <w:num w:numId="21">
    <w:abstractNumId w:val="6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20"/>
    <w:rsid w:val="0010139A"/>
    <w:rsid w:val="00517020"/>
    <w:rsid w:val="005F370E"/>
    <w:rsid w:val="006E4B30"/>
    <w:rsid w:val="00781712"/>
    <w:rsid w:val="007D3D64"/>
    <w:rsid w:val="007F27EA"/>
    <w:rsid w:val="0090658B"/>
    <w:rsid w:val="00B52B91"/>
    <w:rsid w:val="00B7357F"/>
    <w:rsid w:val="00E8080C"/>
    <w:rsid w:val="00EF5E74"/>
    <w:rsid w:val="00F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A2280-EA8F-4BBE-BC56-89DACED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7020"/>
  </w:style>
  <w:style w:type="paragraph" w:styleId="Cmsor1">
    <w:name w:val="heading 1"/>
    <w:basedOn w:val="Norml"/>
    <w:next w:val="Norml"/>
    <w:link w:val="Cmsor1Char"/>
    <w:uiPriority w:val="9"/>
    <w:qFormat/>
    <w:rsid w:val="00517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7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7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7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7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7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7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7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51702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17020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517020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17020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1702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702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7020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7020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7020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7020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7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7020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7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inomkiemels">
    <w:name w:val="Subtle Emphasis"/>
    <w:basedOn w:val="Bekezdsalapbettpusa"/>
    <w:uiPriority w:val="19"/>
    <w:qFormat/>
    <w:rsid w:val="00517020"/>
    <w:rPr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517020"/>
    <w:rPr>
      <w:i/>
      <w:iCs/>
    </w:rPr>
  </w:style>
  <w:style w:type="character" w:styleId="Erskiemels">
    <w:name w:val="Intense Emphasis"/>
    <w:basedOn w:val="Bekezdsalapbettpusa"/>
    <w:uiPriority w:val="21"/>
    <w:qFormat/>
    <w:rsid w:val="00517020"/>
    <w:rPr>
      <w:b/>
      <w:bCs/>
      <w:i/>
      <w:iCs/>
      <w:color w:val="DDDDDD" w:themeColor="accent1"/>
    </w:rPr>
  </w:style>
  <w:style w:type="character" w:styleId="Kiemels2">
    <w:name w:val="Strong"/>
    <w:basedOn w:val="Bekezdsalapbettpusa"/>
    <w:uiPriority w:val="22"/>
    <w:qFormat/>
    <w:rsid w:val="00517020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517020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517020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7020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7020"/>
    <w:rPr>
      <w:b/>
      <w:bCs/>
      <w:i/>
      <w:iCs/>
      <w:color w:val="DDDDDD" w:themeColor="accent1"/>
    </w:rPr>
  </w:style>
  <w:style w:type="character" w:styleId="Finomhivatkozs">
    <w:name w:val="Subtle Reference"/>
    <w:basedOn w:val="Bekezdsalapbettpusa"/>
    <w:uiPriority w:val="31"/>
    <w:qFormat/>
    <w:rsid w:val="00517020"/>
    <w:rPr>
      <w:smallCaps/>
      <w:color w:val="B2B2B2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517020"/>
    <w:rPr>
      <w:b/>
      <w:bCs/>
      <w:smallCaps/>
      <w:color w:val="B2B2B2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17020"/>
    <w:rPr>
      <w:b/>
      <w:bCs/>
      <w:smallCap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17020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17020"/>
    <w:pPr>
      <w:outlineLvl w:val="9"/>
    </w:pPr>
  </w:style>
  <w:style w:type="paragraph" w:styleId="Nincstrkz">
    <w:name w:val="No Spacing"/>
    <w:uiPriority w:val="1"/>
    <w:qFormat/>
    <w:rsid w:val="0051702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Templates\Jelent&#233;s%20t&#233;ma%20(&#252;res).dotx" TargetMode="Externa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Jelentés téma (üres)</Template>
  <TotalTime>108</TotalTime>
  <Pages>4</Pages>
  <Words>995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Virág</dc:creator>
  <cp:keywords/>
  <cp:lastModifiedBy>Virág Alexandra</cp:lastModifiedBy>
  <cp:revision>3</cp:revision>
  <dcterms:created xsi:type="dcterms:W3CDTF">2013-12-19T17:32:00Z</dcterms:created>
  <dcterms:modified xsi:type="dcterms:W3CDTF">2013-12-19T20:36:00Z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